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6/2023. Kt.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Készült Mosonmagyaróváron, 2023. augusztus 20-án (vasárnap) 14.25 órakor a Képviselő-testület rendkívüli, nyilvános ülésén, a Városháza II. emeleti tárgyalótermében – Dr. Sattler János teremben.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  <w:u w:val="single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 Dr.</w:t>
      </w:r>
      <w:r>
        <w:rPr>
          <w:color w:val="000000"/>
          <w:sz w:val="24"/>
          <w:szCs w:val="24"/>
        </w:rPr>
        <w:t xml:space="preserve"> Iváncsics János, Keszeiné Siklósi Zsuzsanna, Staár Katalin, Németh Sándor, Nyitrai József, Muráncsik László, Pausits István, Dr. Frauhammer Csaba, Kránitz László, Szabó Miklós, Vida István, Ábrahám Tivadar, Élő Károly képviselők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Tóth Szabolcs osztályvezető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Kitley Tibor városi főépítész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Hári Angéla Önkormányzati Osztály részéről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Vargáné Rigó Hedvig jegyző</w:t>
      </w:r>
      <w:r>
        <w:rPr>
          <w:color w:val="000000"/>
          <w:sz w:val="24"/>
          <w:szCs w:val="24"/>
        </w:rPr>
        <w:t>könyvvezető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</w:p>
    <w:p w:rsidR="000C78F1" w:rsidRDefault="004C6830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polgármester: Köszönti a rendkívüli képviselő-testületi ülésen megjelenteket, az ülést megnyitja. </w:t>
      </w:r>
      <w:r>
        <w:rPr>
          <w:sz w:val="24"/>
          <w:szCs w:val="24"/>
        </w:rPr>
        <w:t>Megállapítja, hogy a Képviselő-testület határozatképes, mivel 14 képviselő jelen van. Dr. Jávor Miklós képviselő igazoltan van t</w:t>
      </w:r>
      <w:r>
        <w:rPr>
          <w:sz w:val="24"/>
          <w:szCs w:val="24"/>
        </w:rPr>
        <w:t xml:space="preserve">ávol. </w:t>
      </w:r>
    </w:p>
    <w:p w:rsidR="000C78F1" w:rsidRDefault="004C6830">
      <w:pPr>
        <w:ind w:left="539"/>
        <w:jc w:val="both"/>
        <w:rPr>
          <w:sz w:val="24"/>
          <w:szCs w:val="24"/>
        </w:rPr>
      </w:pPr>
      <w:r>
        <w:rPr>
          <w:sz w:val="24"/>
          <w:szCs w:val="24"/>
        </w:rPr>
        <w:t>A meghívón a 9. napirendi pontban szereplő „Mosonmagyaróvárért Emlékérem” díj adományozása tárgyú előterjesztést zárt ülésen javasolja tárgyalni.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következőben szavazásra bocsátja a napirendi javaslatot.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az alábbi határozatot hozta: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143/2023. (VIII.20.) Kt. határozat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436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Javaslat a 2023. évi költségvetés módosítására (augusztus) </w:t>
      </w:r>
    </w:p>
    <w:p w:rsidR="000C78F1" w:rsidRDefault="004C6830">
      <w:pPr>
        <w:tabs>
          <w:tab w:val="left" w:pos="851"/>
        </w:tabs>
        <w:ind w:left="709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2.) </w:t>
      </w:r>
      <w:r>
        <w:rPr>
          <w:sz w:val="24"/>
          <w:szCs w:val="24"/>
        </w:rPr>
        <w:tab/>
      </w:r>
      <w:r>
        <w:rPr>
          <w:sz w:val="24"/>
          <w:szCs w:val="24"/>
        </w:rPr>
        <w:t>A szociális igazgatás és a szociális ellátások helyi szabályairól szóló önkormányzati rendelet módosítása</w:t>
      </w:r>
    </w:p>
    <w:p w:rsidR="000C78F1" w:rsidRDefault="004C6830">
      <w:pPr>
        <w:tabs>
          <w:tab w:val="left" w:pos="851"/>
        </w:tabs>
        <w:ind w:left="709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3.) </w:t>
      </w:r>
      <w:r>
        <w:rPr>
          <w:sz w:val="24"/>
          <w:szCs w:val="24"/>
        </w:rPr>
        <w:tab/>
        <w:t xml:space="preserve">A hulladékgazdálkodási közszolgáltatásról szóló önkormányzati rendelet hatályon kívül helyezése </w:t>
      </w:r>
    </w:p>
    <w:p w:rsidR="000C78F1" w:rsidRDefault="004C6830">
      <w:pPr>
        <w:tabs>
          <w:tab w:val="left" w:pos="709"/>
        </w:tabs>
        <w:ind w:left="709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4.) </w:t>
      </w:r>
      <w:r>
        <w:rPr>
          <w:sz w:val="24"/>
          <w:szCs w:val="24"/>
        </w:rPr>
        <w:tab/>
        <w:t>Településrendezés: Mosonmagyaróvár települé</w:t>
      </w:r>
      <w:r>
        <w:rPr>
          <w:sz w:val="24"/>
          <w:szCs w:val="24"/>
        </w:rPr>
        <w:t>srendezési terveinek módosítása (2022/1) kapcsán az államigazgatási szervektől érkezett nyilatkozatok jóváhagyása</w:t>
      </w:r>
    </w:p>
    <w:p w:rsidR="000C78F1" w:rsidRDefault="004C6830">
      <w:pPr>
        <w:tabs>
          <w:tab w:val="left" w:pos="851"/>
        </w:tabs>
        <w:ind w:left="709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5.) </w:t>
      </w:r>
      <w:r>
        <w:rPr>
          <w:sz w:val="24"/>
          <w:szCs w:val="24"/>
        </w:rPr>
        <w:tab/>
        <w:t>Hozzájárulás a Mosonmagyaróvár Duna – Liget lakópark és az 1401. sz. út közötti új út építéséhez kapcsolódó területszerzések lebonyolítás</w:t>
      </w:r>
      <w:r>
        <w:rPr>
          <w:sz w:val="24"/>
          <w:szCs w:val="24"/>
        </w:rPr>
        <w:t xml:space="preserve">ához </w:t>
      </w:r>
    </w:p>
    <w:p w:rsidR="000C78F1" w:rsidRDefault="004C6830">
      <w:pPr>
        <w:tabs>
          <w:tab w:val="left" w:pos="709"/>
        </w:tabs>
        <w:ind w:left="360" w:hanging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6.) </w:t>
      </w:r>
      <w:r>
        <w:rPr>
          <w:sz w:val="24"/>
          <w:szCs w:val="24"/>
        </w:rPr>
        <w:tab/>
        <w:t>Mosonmagyaróvár, Fő u. 13. szám alatti ingatlan értékesítésére érkezett vételi ajánlat</w:t>
      </w:r>
    </w:p>
    <w:p w:rsidR="000C78F1" w:rsidRDefault="004C6830">
      <w:pPr>
        <w:tabs>
          <w:tab w:val="left" w:pos="851"/>
        </w:tabs>
        <w:ind w:left="709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7.) </w:t>
      </w:r>
      <w:r>
        <w:rPr>
          <w:sz w:val="24"/>
          <w:szCs w:val="24"/>
        </w:rPr>
        <w:tab/>
        <w:t xml:space="preserve">Utólagos tájékoztatás a 8. számú vegyes fogorvosi körzet bérleti szerződésének megkötéséről </w:t>
      </w:r>
    </w:p>
    <w:p w:rsidR="000C78F1" w:rsidRDefault="004C6830">
      <w:pPr>
        <w:tabs>
          <w:tab w:val="left" w:pos="709"/>
          <w:tab w:val="left" w:pos="851"/>
        </w:tabs>
        <w:ind w:left="360" w:hanging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8.) </w:t>
      </w:r>
      <w:r>
        <w:rPr>
          <w:sz w:val="24"/>
          <w:szCs w:val="24"/>
        </w:rPr>
        <w:tab/>
        <w:t xml:space="preserve">Alapítványok támogatása </w:t>
      </w:r>
    </w:p>
    <w:p w:rsidR="000C78F1" w:rsidRDefault="004C6830">
      <w:pPr>
        <w:tabs>
          <w:tab w:val="left" w:pos="709"/>
        </w:tabs>
        <w:ind w:left="360" w:hanging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9.) </w:t>
      </w:r>
      <w:r>
        <w:rPr>
          <w:sz w:val="24"/>
          <w:szCs w:val="24"/>
        </w:rPr>
        <w:tab/>
        <w:t>„Mosonmagyaróvárért Emlék</w:t>
      </w:r>
      <w:r>
        <w:rPr>
          <w:sz w:val="24"/>
          <w:szCs w:val="24"/>
        </w:rPr>
        <w:t>érem” díj adományozása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bookmarkStart w:id="1" w:name="_30j0zll" w:colFirst="0" w:colLast="0"/>
      <w:bookmarkEnd w:id="1"/>
      <w:r>
        <w:rPr>
          <w:b/>
          <w:sz w:val="24"/>
          <w:szCs w:val="24"/>
        </w:rPr>
        <w:t xml:space="preserve">Javaslat a 2023. évi költségvetés módosítására (augusztus)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tárgyalta az előterjesztést.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Ábrahám Tivadar</w:t>
      </w:r>
      <w:r>
        <w:rPr>
          <w:color w:val="000000"/>
          <w:sz w:val="24"/>
          <w:szCs w:val="24"/>
        </w:rPr>
        <w:t xml:space="preserve"> képviselő: A Bizottság egyhangúlag támogatta a rendelet-tervezetet. A határozati javaslatot 4 igen szavazattal, 1 tartózkodás mellett elfogadásra javasolja. Könyvvizsgálói jelentést is rendelkezésre bocsátottak.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helyi ga</w:t>
      </w:r>
      <w:r>
        <w:rPr>
          <w:color w:val="000000"/>
          <w:sz w:val="24"/>
          <w:szCs w:val="24"/>
        </w:rPr>
        <w:t>zdaság egészségesen működik. A 2023-as költségvetési tervezés tavaly nagyon óvatos volt. Beérkezett 1 milliárd 75 millió Ft az átadott helyi adóból. Lényegében a 2019-es szintet hozta a helyi gazdaság. Jelentősen növekedett az állami támogatás és a kamatbe</w:t>
      </w:r>
      <w:r>
        <w:rPr>
          <w:color w:val="000000"/>
          <w:sz w:val="24"/>
          <w:szCs w:val="24"/>
        </w:rPr>
        <w:t>vételi többlet is. Az Iskola utcai ingatlan értékesítését kiveszik az értékesítési csomagból, ez 187 MFt-ot jelent. Önhiki támogatásból 41 MFt-ot kaptak. A bevételi oldal összességében 1,3 milliárd Ft-tal növekszik. Ezt kell jól felhasználni, erre érkezett</w:t>
      </w:r>
      <w:r>
        <w:rPr>
          <w:color w:val="000000"/>
          <w:sz w:val="24"/>
          <w:szCs w:val="24"/>
        </w:rPr>
        <w:t xml:space="preserve"> javaslat.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Kiadási oldalon, a személyi juttatás terén július 1-től visszamenőleg 10%-os illetményalap-emelést terveznek, és a második kétheti juttatás alapját is betervezik. A köztisztviselői illetményalap így majdnem 82.000 Ft-ra nő. A levezetése szerepel az előterj</w:t>
      </w:r>
      <w:r>
        <w:rPr>
          <w:color w:val="000000"/>
          <w:sz w:val="24"/>
          <w:szCs w:val="24"/>
        </w:rPr>
        <w:t xml:space="preserve">esztésben, hogy mibe kerül az önkormányzatnak.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A közüzemekre képeznének tartalékot, megint jön az ősz. Most annyival kedvezőbb a helyzet, hogy a villamos és gázbeszerzés lezárult, fix szerződéseket kötöttek. Jelenleg a számlák hektikusan érkeznek. A gázb</w:t>
      </w:r>
      <w:r>
        <w:rPr>
          <w:color w:val="000000"/>
          <w:sz w:val="24"/>
          <w:szCs w:val="24"/>
        </w:rPr>
        <w:t>an spóroltak, villanyban nem, és most a villany drágább lesz. Köztisztasági feladatok költségei bekerülnek a költségvetésbe. A Kórház nem kért támogatást. A szociális étkeztetés elindult, közbeszerzést írtak ki rá, mindkét ajánlat meghaladja azt az árat, a</w:t>
      </w:r>
      <w:r>
        <w:rPr>
          <w:color w:val="000000"/>
          <w:sz w:val="24"/>
          <w:szCs w:val="24"/>
        </w:rPr>
        <w:t>mit terveztek rá. Az eseti támogatási keretet újranyitják 50 MFt kerettel, szeptember hónapban lehet rá pályázni, elszámolását kitolnák jövő márciusig. A fejlesztési kiadások előirányzatát megemelik, folyamatban van a Bolyai iskola konyhájának építése, aho</w:t>
      </w:r>
      <w:r>
        <w:rPr>
          <w:color w:val="000000"/>
          <w:sz w:val="24"/>
          <w:szCs w:val="24"/>
        </w:rPr>
        <w:t>l a beérkezett árajánlatok közül a legolcsóbb is nettó 20 MFt-tal drágább, mint a becsült érték. A még ebben az évben leszerződhető burkolt utak felújítási keretéhez hozzátennének még 200 MFt-ot. TOP pályázatok indulására van esély, a Vízisport Egyesülette</w:t>
      </w:r>
      <w:r>
        <w:rPr>
          <w:color w:val="000000"/>
          <w:sz w:val="24"/>
          <w:szCs w:val="24"/>
        </w:rPr>
        <w:t xml:space="preserve">l újra beadnák a turisztikai fejlesztési projektet.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Vida István</w:t>
      </w:r>
      <w:r>
        <w:rPr>
          <w:color w:val="000000"/>
          <w:sz w:val="24"/>
          <w:szCs w:val="24"/>
        </w:rPr>
        <w:t xml:space="preserve"> képviselő: Örül, hogy a városházi dolgozók megkapják a béremelést, hisz az államigazgatásban voltak ígéretek, melyeknek a fele sem valósult meg más szegmensekben. Az is örömteli, hogy azokbó</w:t>
      </w:r>
      <w:r>
        <w:rPr>
          <w:color w:val="000000"/>
          <w:sz w:val="24"/>
          <w:szCs w:val="24"/>
        </w:rPr>
        <w:t xml:space="preserve">l a rémisztő számokból energia téren szerencsére nem sok minden valósult meg. Nem érti viszont, hogy az olyan horderejű költségvetési átcsoportosításokat, amikről most döntenek, miért erre a rövid, rendkívüli ülésre kellett behozni, miért nem lehetett ezt </w:t>
      </w:r>
      <w:r>
        <w:rPr>
          <w:color w:val="000000"/>
          <w:sz w:val="24"/>
          <w:szCs w:val="24"/>
        </w:rPr>
        <w:t>rendes ülésen megtárgyalni, nem érti, mi ez a sietség. Salátatörvény jellegű az előterjesztés, mindent beleraktak. Jó lenne egy energetikai koncepció a városban. Geotermia működéssel kapcsolatban is várná a számadatokat. A Kórház nem kér támogatást, de táj</w:t>
      </w:r>
      <w:r>
        <w:rPr>
          <w:color w:val="000000"/>
          <w:sz w:val="24"/>
          <w:szCs w:val="24"/>
        </w:rPr>
        <w:t>ékoztatást sem kapnak a működésről. A TOP pályázatok indulásával kapcsolatban ő nem ennyire derűlátó, szerinte nem fognak indulni, az EU-val való viszony miatt.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költségvetés – ha úgy tetszik – egy saláta, a bevételi forrá</w:t>
      </w:r>
      <w:r>
        <w:rPr>
          <w:color w:val="000000"/>
          <w:sz w:val="24"/>
          <w:szCs w:val="24"/>
        </w:rPr>
        <w:t xml:space="preserve">sokat szét kell osztani. Energetikai oldalon, ők közbeszerzéssel beszerző vevők. Nem fognak koncepciót gyártani, azzal nem lehet az árakat befolyásolni. </w:t>
      </w:r>
      <w:r>
        <w:rPr>
          <w:color w:val="000000"/>
          <w:sz w:val="24"/>
          <w:szCs w:val="24"/>
        </w:rPr>
        <w:lastRenderedPageBreak/>
        <w:t>Alkalmazkodnak a helyzethez, amit saját hatáskörben meg tudnak tenni, azt megtették, a forrásokat okosa</w:t>
      </w:r>
      <w:r>
        <w:rPr>
          <w:color w:val="000000"/>
          <w:sz w:val="24"/>
          <w:szCs w:val="24"/>
        </w:rPr>
        <w:t>n költik el. A 300 MFt kamatbevétel biztonságot ad. Szerinte fontos, hogy ezeket a változásokat mihamarabb át lehessen vezetni, fontos, hogy a dolgozók mihamarabb megkaphassák a kiegészített bért, s a civil szervezeteknek is lényeges, hogy tudják, számolha</w:t>
      </w:r>
      <w:r>
        <w:rPr>
          <w:color w:val="000000"/>
          <w:sz w:val="24"/>
          <w:szCs w:val="24"/>
        </w:rPr>
        <w:t xml:space="preserve">tnak még plusz támogatással. Az útépítések kapcsán is az lenne a legjobb, ha </w:t>
      </w:r>
      <w:r>
        <w:rPr>
          <w:sz w:val="24"/>
          <w:szCs w:val="24"/>
        </w:rPr>
        <w:t xml:space="preserve">azok a lehető leghamarabb </w:t>
      </w:r>
      <w:r>
        <w:rPr>
          <w:color w:val="000000"/>
          <w:sz w:val="24"/>
          <w:szCs w:val="24"/>
        </w:rPr>
        <w:t>megkezdődhetnének. Szavazásra bocsátja az előterjesztést.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(minősített többséggel) az alábbi rendeletet alkotta: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0C78F1" w:rsidRDefault="004C68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21/2023. (VIII.21.) önkormányzati rendelet</w:t>
      </w:r>
    </w:p>
    <w:p w:rsidR="000C78F1" w:rsidRDefault="000C78F1">
      <w:pPr>
        <w:jc w:val="both"/>
        <w:rPr>
          <w:b/>
          <w:sz w:val="24"/>
          <w:szCs w:val="24"/>
        </w:rPr>
      </w:pPr>
    </w:p>
    <w:p w:rsidR="000C78F1" w:rsidRDefault="004C6830">
      <w:pPr>
        <w:keepNext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 Képviselő-testülete</w:t>
      </w:r>
      <w:r>
        <w:rPr>
          <w:sz w:val="24"/>
          <w:szCs w:val="24"/>
        </w:rPr>
        <w:t xml:space="preserve"> az Önkormányzat 2023. évi költségvetéséről szóló 2</w:t>
      </w:r>
      <w:r>
        <w:rPr>
          <w:sz w:val="24"/>
          <w:szCs w:val="24"/>
        </w:rPr>
        <w:t>/2023. (II. 17.) önkormányzati rendelet módosításáról</w:t>
      </w:r>
      <w:r>
        <w:rPr>
          <w:color w:val="000000"/>
          <w:sz w:val="24"/>
          <w:szCs w:val="24"/>
        </w:rPr>
        <w:t xml:space="preserve"> szóló </w:t>
      </w:r>
      <w:r>
        <w:rPr>
          <w:sz w:val="24"/>
          <w:szCs w:val="24"/>
        </w:rPr>
        <w:t>rendeletét megalkotta.</w:t>
      </w:r>
    </w:p>
    <w:p w:rsidR="000C78F1" w:rsidRDefault="000C78F1">
      <w:pPr>
        <w:keepNext/>
        <w:jc w:val="both"/>
        <w:rPr>
          <w:sz w:val="24"/>
          <w:szCs w:val="24"/>
        </w:rPr>
      </w:pP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12 igen szavazattal, 2 tartózkodás mellett az alábbi határozatot hozta: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0C78F1" w:rsidRDefault="004C68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144/2023. (VIII.20.) Kt. határozat</w:t>
      </w: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 Képvis</w:t>
      </w:r>
      <w:r>
        <w:rPr>
          <w:color w:val="000000"/>
          <w:sz w:val="24"/>
          <w:szCs w:val="24"/>
        </w:rPr>
        <w:t>elő-testülete elrendeli az Önkormányzat 2023. évi költségvetéséről szóló 2/2023. (II. 17.) önkormányzati rendelet – továbbiakban: költségvetési rendelet – módosítás előkészítését az alábbiak szerint:</w:t>
      </w: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jc w:val="both"/>
        <w:rPr>
          <w:sz w:val="24"/>
          <w:szCs w:val="24"/>
        </w:rPr>
      </w:pPr>
      <w:r>
        <w:rPr>
          <w:sz w:val="24"/>
          <w:szCs w:val="24"/>
        </w:rPr>
        <w:t>Bevételi oldalon</w:t>
      </w:r>
    </w:p>
    <w:p w:rsidR="000C78F1" w:rsidRDefault="000C78F1">
      <w:pPr>
        <w:jc w:val="both"/>
        <w:rPr>
          <w:sz w:val="24"/>
          <w:szCs w:val="24"/>
        </w:rPr>
      </w:pPr>
    </w:p>
    <w:tbl>
      <w:tblPr>
        <w:tblStyle w:val="a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88"/>
        <w:gridCol w:w="1765"/>
        <w:gridCol w:w="1701"/>
        <w:gridCol w:w="1701"/>
        <w:gridCol w:w="1701"/>
      </w:tblGrid>
      <w:tr w:rsidR="000C78F1">
        <w:trPr>
          <w:trHeight w:val="1500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Módosított előirányzat 2023. június 30-i állapot szerint (összevont riport alapján)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Módosítás mértéke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300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Forrás oldal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60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Önkormányzatok működési támogatásai B11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3 294 488 276 Ft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3 689 921 666 Ft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41 600 000 Ft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3 731 521 666 Ft</w:t>
            </w:r>
          </w:p>
        </w:tc>
      </w:tr>
      <w:tr w:rsidR="000C78F1">
        <w:trPr>
          <w:trHeight w:val="9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Állandó jelleggel végzett iparűzési tevékenység után fizetett helyi iparűzési adó B351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3 125 000 000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3 125 000 000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1 075 000 000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4 200 000 000 Ft</w:t>
            </w:r>
          </w:p>
        </w:tc>
      </w:tr>
      <w:tr w:rsidR="000C78F1">
        <w:trPr>
          <w:trHeight w:val="6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Kamatbevételek és más nyereségjellegű bevételek B408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90 500 000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90 500 086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136 000 000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226 500 086 Ft</w:t>
            </w:r>
          </w:p>
        </w:tc>
      </w:tr>
      <w:tr w:rsidR="000C78F1">
        <w:trPr>
          <w:trHeight w:val="30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Ingatlanok értékesítése B52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591 294 959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591 294 959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-187 588 994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403 705 965 Ft</w:t>
            </w:r>
          </w:p>
        </w:tc>
      </w:tr>
      <w:tr w:rsidR="000C78F1">
        <w:trPr>
          <w:trHeight w:val="60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Visszatérítendő támogatás a Vízisport Egyesület részéről B7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10 000 000 Ft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10 000 000 Ft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-2 725 213 Ft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7 274 787 Ft</w:t>
            </w:r>
          </w:p>
        </w:tc>
      </w:tr>
      <w:tr w:rsidR="000C78F1">
        <w:trPr>
          <w:trHeight w:val="300"/>
        </w:trPr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1 062 285 793 Ft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C78F1" w:rsidRDefault="000C78F1">
      <w:pPr>
        <w:jc w:val="both"/>
        <w:rPr>
          <w:sz w:val="24"/>
          <w:szCs w:val="24"/>
        </w:rPr>
      </w:pP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jc w:val="both"/>
        <w:rPr>
          <w:sz w:val="24"/>
          <w:szCs w:val="24"/>
        </w:rPr>
      </w:pPr>
      <w:r>
        <w:rPr>
          <w:sz w:val="24"/>
          <w:szCs w:val="24"/>
        </w:rPr>
        <w:t>Kiadási oldalon</w:t>
      </w:r>
    </w:p>
    <w:p w:rsidR="000C78F1" w:rsidRDefault="000C78F1">
      <w:pPr>
        <w:jc w:val="both"/>
        <w:rPr>
          <w:sz w:val="24"/>
          <w:szCs w:val="24"/>
        </w:rPr>
      </w:pPr>
    </w:p>
    <w:tbl>
      <w:tblPr>
        <w:tblStyle w:val="a0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67"/>
        <w:gridCol w:w="1527"/>
        <w:gridCol w:w="1563"/>
        <w:gridCol w:w="1513"/>
        <w:gridCol w:w="1744"/>
      </w:tblGrid>
      <w:tr w:rsidR="000C78F1">
        <w:trPr>
          <w:trHeight w:val="15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Módosított előirányzat 2023. június 30-i állapot szerint (összevont riport alapján)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Módosítás mértéke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Személyi juttatásra átcsoportosítás K1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3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248 333 673 Ft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273 322 511 Ft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7 400 439 Ft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280 722 950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Polgármesteri Hivatal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608 141 914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598 978 096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36 983 531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635 961 627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Rendészet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64 714 952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64 714 952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3 415 435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68 130 387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Bóbita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84 270 819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85 891 487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6 913 673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92 805 160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Kékcinke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179 763 689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180 363 689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15 107 015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195 470 704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Lurkóvár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130 792 914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131 452 914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10 881 945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142 334 859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Majoroki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85 226 492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85 976 311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8 206 390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94 182 701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Ostermayer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120 643 527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120 835 527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10 376 028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131 211 555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Őzikés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157 668 930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158 656 930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12 893 874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171 550 804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Vackor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117 522 083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119 360 449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9 578 476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128 938 925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Egyesített Bölcsődék Intéménye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513 332 492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518 901 017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40 463 391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559 364 408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Hansági Múzeum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81 453 672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81 453 672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6 457 886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87 911 558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Futura Szolgáltató Központ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77 495 226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284 797 858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23 537 490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308 335 348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9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Önkormányzat felügyelete alá tartozó intézmények személyi juttatásra összesen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192 215 572 Ft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C78F1" w:rsidRDefault="000C78F1"/>
    <w:tbl>
      <w:tblPr>
        <w:tblStyle w:val="a1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67"/>
        <w:gridCol w:w="1527"/>
        <w:gridCol w:w="1563"/>
        <w:gridCol w:w="1513"/>
        <w:gridCol w:w="1744"/>
      </w:tblGrid>
      <w:tr w:rsidR="000C78F1">
        <w:trPr>
          <w:trHeight w:val="9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Munkaadót terhelő járulékok és szociális hozzájárulási adó K2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15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Módosított előirányzat 2023. június 30-i állapot szerint (összevont riport alapján)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Módosítás mértéke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34 328 549 Ft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34 983 621 Ft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962 057 Ft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35 945 678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Polgármesteri Hivatal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91 656 553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90 538 760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4 807 859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95 346 619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Rendészet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9 671 456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9 671 456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444 007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10 115 463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Bóbita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11 364 007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11 562 630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898 777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12 461 407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Kékcinke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28 049 777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28 119 977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1 963 912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30 083 889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Lurkóvár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17 837 853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17 915 073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1 414 653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19 329 726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Majoroki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11 679 277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11 761 645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1 066 831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12 828 476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Ostermayer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16 337 182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16 359 646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1 348 884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17 708 530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Őzikés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23 515 296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23 630 892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1 676 204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25 307 096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Vackor Óvoda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16 299 404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16 524 455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1 245 202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17 769 657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Egyesített Bölcsődék Intéménye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74 204 141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74 928 049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5 260 241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80 188 290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Hansági Múzeum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10 697 843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10 697 843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839 525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11 537 368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Futura Szolgáltató Központ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10 283 755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48 192 227 Ft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3 059 874 Ft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51 252 101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12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Önkormányzat felügyelete alá tartozó intézmények járulékra összesen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24 988 024 Ft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C78F1" w:rsidRDefault="000C78F1"/>
    <w:tbl>
      <w:tblPr>
        <w:tblStyle w:val="a2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67"/>
        <w:gridCol w:w="1527"/>
        <w:gridCol w:w="1563"/>
        <w:gridCol w:w="1698"/>
        <w:gridCol w:w="1559"/>
      </w:tblGrid>
      <w:tr w:rsidR="000C78F1">
        <w:trPr>
          <w:trHeight w:val="12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 Önkormányzat gesztorsága alá tartozó Társulás támogatás változása K506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0C78F1">
        <w:trPr>
          <w:trHeight w:val="15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Módosított előirányzat 2023. június 30-i állapot szerint (összevont riport alapján)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Módosítás mértéke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24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Mosonmagyaróvár Térségi Társulás intézményei felé továbbítandó működ</w:t>
            </w:r>
            <w:r>
              <w:rPr>
                <w:color w:val="000000"/>
                <w:sz w:val="22"/>
                <w:szCs w:val="22"/>
              </w:rPr>
              <w:t>ési támogatás (bérfejlesztés és állami támogatás különbözete) K506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8F1" w:rsidRDefault="004C68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1 032 844 090 Ft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8F1" w:rsidRDefault="004C68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1 206 468 095 Ft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Ft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8F1" w:rsidRDefault="004C68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1 313 468 095 Ft</w:t>
            </w:r>
          </w:p>
        </w:tc>
      </w:tr>
      <w:tr w:rsidR="000C78F1">
        <w:trPr>
          <w:trHeight w:val="18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Mosonmagyaróvár Térségi Társulás intézménye felé továbbítandó működési támogatás (intézményi étkeztetés közbeszerzés várható önerő az indikátorok alapján) K506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8F1" w:rsidRDefault="000C7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8F1" w:rsidRDefault="000C7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107 000 000 Ft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8F1" w:rsidRDefault="000C7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Dologi kiadások változása K3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15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2023. június 30-i állapot szerint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(összevont riport alapján)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Módosítás mértéke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18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Közüzemi költségekre elkülönített tartalék forrás K33 (Önkormányzat és fenntartása alatt lévő intézmények)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247 438 145 Ft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375 523 797 Ft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100 000 000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475 523 797 Ft</w:t>
            </w:r>
          </w:p>
        </w:tc>
      </w:tr>
      <w:tr w:rsidR="000C78F1">
        <w:trPr>
          <w:trHeight w:val="12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Köztisztasági feladatellátással kapcsolatban szemét elszállítás szerződése (Kisalföldi Nonprofit Kft.) K3 Cofog 013350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7 500 000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7 500 000 Ft</w:t>
            </w:r>
          </w:p>
        </w:tc>
      </w:tr>
      <w:tr w:rsidR="000C78F1">
        <w:trPr>
          <w:trHeight w:val="21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Köztisztasági feladatellátással kapcsolatban ártalmatlanítás szerződése (MOHUMOL szerzdősé) K3 Cofog 013350 VÜF üzleti tervében a teljes közterület tisztítás költsége évi bruttó 91.440e Ft 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38 220 000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38 220 000 Ft</w:t>
            </w:r>
          </w:p>
        </w:tc>
      </w:tr>
      <w:tr w:rsidR="000C78F1">
        <w:trPr>
          <w:trHeight w:val="440"/>
        </w:trPr>
        <w:tc>
          <w:tcPr>
            <w:tcW w:w="28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Dologi kiadások előirányzatának változása összesen</w:t>
            </w:r>
          </w:p>
        </w:tc>
        <w:tc>
          <w:tcPr>
            <w:tcW w:w="15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145 720 000 Ft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C78F1">
        <w:trPr>
          <w:trHeight w:val="260"/>
        </w:trPr>
        <w:tc>
          <w:tcPr>
            <w:tcW w:w="2867" w:type="dxa"/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C78F1">
        <w:trPr>
          <w:trHeight w:val="260"/>
        </w:trPr>
        <w:tc>
          <w:tcPr>
            <w:tcW w:w="2867" w:type="dxa"/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Tartalék forrás előirányzatának változása K513</w:t>
            </w:r>
          </w:p>
        </w:tc>
        <w:tc>
          <w:tcPr>
            <w:tcW w:w="1527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C78F1">
        <w:trPr>
          <w:trHeight w:val="260"/>
        </w:trPr>
        <w:tc>
          <w:tcPr>
            <w:tcW w:w="2867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563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Módosított előirányzat 2023. június 30-i állapot szerint (összevont riport alapján)</w:t>
            </w:r>
          </w:p>
        </w:tc>
        <w:tc>
          <w:tcPr>
            <w:tcW w:w="1698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Módosítás mértéke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15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Általános tartalékról előirányzat átcsoportosítás személyi juttatás és járulék sorra K513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50 000 000 Ft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222 042 408 Ft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-185 814 556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36 227 852 Ft</w:t>
            </w:r>
          </w:p>
        </w:tc>
      </w:tr>
      <w:tr w:rsidR="000C78F1">
        <w:trPr>
          <w:trHeight w:val="342"/>
        </w:trPr>
        <w:tc>
          <w:tcPr>
            <w:tcW w:w="28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C78F1">
        <w:trPr>
          <w:trHeight w:val="342"/>
        </w:trPr>
        <w:tc>
          <w:tcPr>
            <w:tcW w:w="2867" w:type="dxa"/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C78F1">
        <w:trPr>
          <w:trHeight w:val="342"/>
        </w:trPr>
        <w:tc>
          <w:tcPr>
            <w:tcW w:w="2867" w:type="dxa"/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Eseti támogatási keret létrehozása K512</w:t>
            </w:r>
          </w:p>
        </w:tc>
        <w:tc>
          <w:tcPr>
            <w:tcW w:w="1527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C78F1">
        <w:trPr>
          <w:trHeight w:val="378"/>
        </w:trPr>
        <w:tc>
          <w:tcPr>
            <w:tcW w:w="28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Eredeti előirányzat (összevont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riport alapján)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Módosított előirányzat 2023. június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30-i állapot szerint (összevont riport alapján)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Módosítás mértéke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6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Eseti támogatási keret lehetősége K512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50 000 000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50 000 000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</w:tbl>
    <w:p w:rsidR="000C78F1" w:rsidRDefault="000C78F1"/>
    <w:tbl>
      <w:tblPr>
        <w:tblStyle w:val="a3"/>
        <w:tblW w:w="92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67"/>
        <w:gridCol w:w="1527"/>
        <w:gridCol w:w="1563"/>
        <w:gridCol w:w="1698"/>
        <w:gridCol w:w="1559"/>
      </w:tblGrid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Fejlesztési kiadások                 K6-K7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15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Módosított előirányzat 2023. június 30-i állapot szerint (összevont riport alapján)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Módosítás mértéke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150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Mosonmagyaróvár Duna – Liget lakópark és a 1401. sz. út közötti új út építéséhez kapcsolódó területszerzések lebonyolításához  Co</w:t>
            </w:r>
            <w:r>
              <w:rPr>
                <w:color w:val="000000"/>
                <w:sz w:val="22"/>
                <w:szCs w:val="22"/>
              </w:rPr>
              <w:t>fog 013350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35 000 000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35 000 000 Ft</w:t>
            </w:r>
          </w:p>
        </w:tc>
      </w:tr>
      <w:tr w:rsidR="000C78F1">
        <w:trPr>
          <w:trHeight w:val="2198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"Bolyai Iskola bővítése"- konyha ajánlat szerint szükséges önerő bruttó: eredeti előirányzat bruttó 200 millió Ft, jelezett ajánlati összegig történő önerő kiegészítés 205.572.325 Ft + 27% áfa = 261 076 854Ft Cofog 013350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200 000 000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200 000 000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61 076 854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261 076 854 Ft</w:t>
            </w:r>
          </w:p>
        </w:tc>
      </w:tr>
      <w:tr w:rsidR="000C78F1">
        <w:trPr>
          <w:trHeight w:val="9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Önkormányzati intézmények beruházása bruttó előirányzat Cofog 013350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50 000 000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50 000 000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80 000 000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Térfigyelő rendszer Cofog 013350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5 000 000 Ft</w:t>
            </w:r>
          </w:p>
        </w:tc>
      </w:tr>
      <w:tr w:rsidR="000C78F1">
        <w:trPr>
          <w:trHeight w:val="9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Út, járda, csomópont és parkolók építése tervezése, engedélyezés kivitelezés Cofog 045120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472 016 980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473 416 980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523 416 980 Ft</w:t>
            </w:r>
          </w:p>
        </w:tc>
      </w:tr>
      <w:tr w:rsidR="000C78F1">
        <w:trPr>
          <w:trHeight w:val="9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Műszaki ellenőri feladatok útalapos és egyéb utcákra Cofog 045120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12 500 000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12 500 000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8 890 000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21 390 000 Ft</w:t>
            </w:r>
          </w:p>
        </w:tc>
      </w:tr>
      <w:tr w:rsidR="000C78F1">
        <w:trPr>
          <w:trHeight w:val="6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Marás-aszfaltozás, járdák felújítása Cofof 045120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200 000 000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200 000 000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400 000 000 Ft</w:t>
            </w:r>
          </w:p>
        </w:tc>
      </w:tr>
      <w:tr w:rsidR="000C78F1">
        <w:trPr>
          <w:trHeight w:val="9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Játszótérrel kapcsolatos beruházások, felújítások Cofog 066010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13 970 000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13 970 000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23 970 000 Ft</w:t>
            </w:r>
          </w:p>
        </w:tc>
      </w:tr>
      <w:tr w:rsidR="000C78F1">
        <w:trPr>
          <w:trHeight w:val="1500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Mosonmagyaróvár Térségi Társulás vagyonkezelésében lévő szociális intézmények fejlesztésére rendelkezésre álló forrás Cofog 107051 K83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 Ft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 Ft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150 000 000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Fejlesztési kiadások változása összesen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549 966 854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15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Kiemelt rovat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Eredeti előirányzat (összevont riport alapján)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Módosított előirányzat 2023. június 30-i állapot szerint (összevont riport alapján)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Módosítás mértéke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Módosított előirányzat </w:t>
            </w:r>
          </w:p>
        </w:tc>
      </w:tr>
      <w:tr w:rsidR="000C78F1">
        <w:trPr>
          <w:trHeight w:val="120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Fennmaradt egyenleg a "működési és fejlesztési célú céltartalék" előirányzatát emeli a K513 rovaton Cofog 013350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350 000 000 Ft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186 946 837 Ft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178 209 899 Ft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365 156 736 Ft</w:t>
            </w:r>
          </w:p>
        </w:tc>
      </w:tr>
      <w:tr w:rsidR="000C78F1">
        <w:trPr>
          <w:trHeight w:val="300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/>
        </w:tc>
      </w:tr>
      <w:tr w:rsidR="000C78F1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Kiadás változás mindösszesen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4C6830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1 062 285 793 Ft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78F1" w:rsidRDefault="000C78F1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C78F1" w:rsidRDefault="000C78F1">
      <w:pPr>
        <w:jc w:val="both"/>
        <w:rPr>
          <w:sz w:val="24"/>
          <w:szCs w:val="24"/>
        </w:rPr>
      </w:pP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előirányzatmódosítással a költségvetés főösszege 1.062.285.793,- Ft-tal nő, melyben a kötelezően ellátandó feladatok javára történő előirányzatmódosítás összege 1.015.011.006,- Ft, az önként vállalt feladatok javára történő előirányzatmódosítás összege </w:t>
      </w:r>
      <w:r>
        <w:rPr>
          <w:sz w:val="24"/>
          <w:szCs w:val="24"/>
        </w:rPr>
        <w:t>47.274.787,- Ft.</w:t>
      </w:r>
    </w:p>
    <w:p w:rsidR="000C78F1" w:rsidRDefault="004C6830">
      <w:p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utasítja a Polgármestert, hogy a változások átvezetéséről gondoskodjon a költségvetési rendelet soron következő módosításáig. A rendeletmódosítás érinti a rendelet 1., 2., 4., 5., 6., 7., 9., 10., 11., 12., 13., 14., 1</w:t>
      </w:r>
      <w:r>
        <w:rPr>
          <w:sz w:val="24"/>
          <w:szCs w:val="24"/>
        </w:rPr>
        <w:t>5., 17.  mellékleteit.</w:t>
      </w:r>
    </w:p>
    <w:p w:rsidR="000C78F1" w:rsidRDefault="000C78F1">
      <w:pPr>
        <w:jc w:val="both"/>
        <w:rPr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0C78F1" w:rsidRDefault="004C68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Mosonmagyaróvár Város Önkormányzat Képviselő-testülete a Mosonmagyaróvár Térségi Társulás által fenntartott intézmények – Kistérségi Egyesített Szociális Intézmény, Család és Gyermekjóléti Központ – dolgozói számára a 2023. június </w:t>
      </w:r>
      <w:r>
        <w:rPr>
          <w:color w:val="000000"/>
          <w:sz w:val="24"/>
          <w:szCs w:val="24"/>
        </w:rPr>
        <w:t>30-i bruttó bérhez viszonyítva 10% mértékű további bérfejlesztést, valamint az abból számított bruttó bér alapján további egyszer kétheti bérkiegészítés előirányzatát biztosítja az Önkormányzat fenntartása alatt lévő intézmények munkavállalóira vonatkozó s</w:t>
      </w:r>
      <w:r>
        <w:rPr>
          <w:color w:val="000000"/>
          <w:sz w:val="24"/>
          <w:szCs w:val="24"/>
        </w:rPr>
        <w:t>zabályok szerint.</w:t>
      </w:r>
    </w:p>
    <w:p w:rsidR="000C78F1" w:rsidRDefault="000C78F1">
      <w:pPr>
        <w:jc w:val="both"/>
        <w:rPr>
          <w:color w:val="000000"/>
          <w:sz w:val="24"/>
          <w:szCs w:val="24"/>
        </w:rPr>
      </w:pPr>
    </w:p>
    <w:p w:rsidR="000C78F1" w:rsidRDefault="004C68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Képviselő-testület jelen határozat 1.) pontjában rögzített pótelőirányzatokat biztosítja a közüzemi költségek, az eseti támogatási keret, a köztisztasági feladatellátás, a fejlesztési célú források finanszírozására és felhatalmazza a p</w:t>
      </w:r>
      <w:r>
        <w:rPr>
          <w:color w:val="000000"/>
          <w:sz w:val="24"/>
          <w:szCs w:val="24"/>
        </w:rPr>
        <w:t>olgármestert a jognyilatkozatok megtételére.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:rsidR="000C78F1" w:rsidRDefault="004C68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Képviselő-testület a Mosonmagyaróvári Vízisport Egyesület számára biztosított 10.000.000 Ft visszatérítendő támogatás összegéből a jégpálya villámhárító szerelésére és kivitelezésére (anyag és munkadíj) fordí</w:t>
      </w:r>
      <w:r>
        <w:rPr>
          <w:color w:val="000000"/>
          <w:sz w:val="24"/>
          <w:szCs w:val="24"/>
        </w:rPr>
        <w:t xml:space="preserve">tandó bruttó 2.725.213 Ft </w:t>
      </w:r>
      <w:r>
        <w:rPr>
          <w:color w:val="000000"/>
          <w:sz w:val="24"/>
          <w:szCs w:val="24"/>
        </w:rPr>
        <w:lastRenderedPageBreak/>
        <w:t>költséget elengedi, és felhatalmazza a polgármestert a támogatási szerződés módosítására.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0C78F1" w:rsidRDefault="004C68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az eseti támogatási keretre vonatkozóan a következő szabályokat határozza meg: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:rsidR="000C78F1" w:rsidRDefault="004C6830">
      <w:pPr>
        <w:ind w:left="1080"/>
        <w:jc w:val="both"/>
        <w:rPr>
          <w:sz w:val="24"/>
          <w:szCs w:val="24"/>
        </w:rPr>
      </w:pPr>
      <w:bookmarkStart w:id="2" w:name="_1fob9te" w:colFirst="0" w:colLast="0"/>
      <w:bookmarkEnd w:id="2"/>
      <w:r>
        <w:rPr>
          <w:sz w:val="24"/>
          <w:szCs w:val="24"/>
        </w:rPr>
        <w:t>A támogatás rendelkezésre álló keretösszege "A városi kultúra, sport és egyéb önszerveződő közösségek támogatása" - 50 millió Ft.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támogatás célja: </w:t>
      </w:r>
    </w:p>
    <w:p w:rsidR="000C78F1" w:rsidRDefault="004C68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Önkormányzat tulajdonában lévő ingatlan bérleti díjához kapcsolódó támogatás. A bérleti díjhoz kapcsolódó támogatást közvetlenül az ingatlant működtető szervezet kapja meg. </w:t>
      </w:r>
    </w:p>
    <w:p w:rsidR="000C78F1" w:rsidRDefault="004C68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szervezet működési feladatainak ellátásának támogatása. Ebben az esetben a tá</w:t>
      </w:r>
      <w:r>
        <w:rPr>
          <w:color w:val="000000"/>
          <w:sz w:val="24"/>
          <w:szCs w:val="24"/>
        </w:rPr>
        <w:t>mogatásra közvetlenül az igénylő szervezet jogosult.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megvalósítási időszak záró időpontja: 2023. december 31.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támogatási igény benyújtására jogosultak köre: bármely, átlátható szervezetnek minősülő olyan szervezet, amely a támogatás céljának megfelel, és s</w:t>
      </w:r>
      <w:r>
        <w:rPr>
          <w:color w:val="000000"/>
          <w:sz w:val="24"/>
          <w:szCs w:val="24"/>
        </w:rPr>
        <w:t>zerepel a 2/2023. (II.17.) önkormányzati rendelet 16. mellékletében.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támogatási igény benyújtása: elsősorban elektronikus úton a tamogatas@mosonmagyarovar.hu e-mail címre nyújtható be, másodsorban papír alapon a Mosonmagyaróvári Polgármesteri Hivatal Önk</w:t>
      </w:r>
      <w:r>
        <w:rPr>
          <w:color w:val="000000"/>
          <w:sz w:val="24"/>
          <w:szCs w:val="24"/>
        </w:rPr>
        <w:t>ormányzati Osztályára.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támogatási kérelem kötelező tartalma: támogatást igénylő szerv alap adatai (név, cím, adószám, számlaszám, képviselőjének neve), a támogatás célja, ideje, a támogatási igény összege – az előfinanszírozási igény megjelölésével, a tá</w:t>
      </w:r>
      <w:r>
        <w:rPr>
          <w:color w:val="000000"/>
          <w:sz w:val="24"/>
          <w:szCs w:val="24"/>
        </w:rPr>
        <w:t>mogatási célhoz kapcsolódó a támogatást igénylő által biztosított önerő, támogatás folyósításához kapcsolódó számlavezető pénzintézet és bankszámla szám megjelölése, valamint az Önkormányzat tulajdonában lévő ingatlan/helység bérletéhez kapcsolódó ajánlatá</w:t>
      </w:r>
      <w:r>
        <w:rPr>
          <w:color w:val="000000"/>
          <w:sz w:val="24"/>
          <w:szCs w:val="24"/>
        </w:rPr>
        <w:t>nak csatolása.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támogatási kérelmek benyújtása: 2023. szeptember 1-től szeptember 30-ig.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támogatási kérelmeket a Társadalmi Kapcsolatok Bizottság a soron következő ülésén bírálja el, legkésőbb 2023. október 31.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támogatásban nem részesülhet az a pályázó,</w:t>
      </w:r>
      <w:r>
        <w:rPr>
          <w:color w:val="000000"/>
          <w:sz w:val="24"/>
          <w:szCs w:val="24"/>
        </w:rPr>
        <w:t xml:space="preserve"> aki korábban kapott támogatással kapcsolatban elszámolási kötelezettségének maradéktalanul nem tett eleget.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nem támogatható olyan pályázat, mely olyan cél megvalósítására került benyújtásra, amely 2023. évben már Mosonmagyaróvár Város Önkormányzata által </w:t>
      </w:r>
      <w:r>
        <w:rPr>
          <w:color w:val="000000"/>
          <w:sz w:val="24"/>
          <w:szCs w:val="24"/>
        </w:rPr>
        <w:t>egyéb támogatásban részesült, kivéve a részbeni támogatás esetét.</w:t>
      </w:r>
    </w:p>
    <w:p w:rsidR="000C78F1" w:rsidRDefault="004C68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pályázó köteles elszámolni a nyújtott támogatásról annak felhasználását követő 30 napon belül, működési támogatás esetén legkésőbb 2024. február 28-ig a két- vagy háromoldalú támogatási sz</w:t>
      </w:r>
      <w:r>
        <w:rPr>
          <w:color w:val="000000"/>
          <w:sz w:val="24"/>
          <w:szCs w:val="24"/>
        </w:rPr>
        <w:t>erződésben rögzítettek alapján.</w:t>
      </w:r>
    </w:p>
    <w:p w:rsidR="000C78F1" w:rsidRDefault="000C78F1">
      <w:pPr>
        <w:jc w:val="both"/>
        <w:rPr>
          <w:color w:val="000000"/>
          <w:sz w:val="24"/>
          <w:szCs w:val="24"/>
        </w:rPr>
      </w:pPr>
    </w:p>
    <w:p w:rsidR="000C78F1" w:rsidRDefault="004C683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Felelős: Dr. Árvay István polgármester</w:t>
      </w:r>
    </w:p>
    <w:p w:rsidR="000C78F1" w:rsidRDefault="004C683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Határidők: </w:t>
      </w:r>
      <w:r>
        <w:rPr>
          <w:color w:val="000000"/>
          <w:sz w:val="24"/>
          <w:szCs w:val="24"/>
        </w:rPr>
        <w:tab/>
      </w:r>
    </w:p>
    <w:p w:rsidR="000C78F1" w:rsidRDefault="004C68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határozati pont vonatkozásában 2023. szeptember 30-ig</w:t>
      </w:r>
    </w:p>
    <w:p w:rsidR="000C78F1" w:rsidRDefault="004C68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határozati pont vonatkozásában legkésőbb 2023. november 30.</w:t>
      </w:r>
    </w:p>
    <w:p w:rsidR="000C78F1" w:rsidRDefault="004C683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és 4. határozati pontok vonatkozásában 2023. szeptember 30.</w:t>
      </w:r>
    </w:p>
    <w:p w:rsidR="000C78F1" w:rsidRDefault="004C6830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  határozati pont vonatkozásában 2024. február 28.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0C78F1" w:rsidRDefault="000C78F1">
      <w:pPr>
        <w:jc w:val="both"/>
        <w:rPr>
          <w:sz w:val="24"/>
          <w:szCs w:val="24"/>
        </w:rPr>
      </w:pPr>
    </w:p>
    <w:p w:rsidR="00141992" w:rsidRDefault="00141992">
      <w:pPr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szociális igazgatás és a szociális ellátások helyi szabályairól szóló önkormányzati rendelet módosítása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Szociális és Esélyegyenlőségi Bizottság tárgyalta az előterjesztést és egyhangúlag támogatta.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Pausits István</w:t>
      </w:r>
      <w:r>
        <w:rPr>
          <w:color w:val="000000"/>
          <w:sz w:val="24"/>
          <w:szCs w:val="24"/>
        </w:rPr>
        <w:t xml:space="preserve"> képviselő: Kormányhivatali ellenőrzés eredményeképp, törvényességi észrevétel, javaslat</w:t>
      </w:r>
      <w:r>
        <w:rPr>
          <w:color w:val="000000"/>
          <w:sz w:val="24"/>
          <w:szCs w:val="24"/>
        </w:rPr>
        <w:t xml:space="preserve"> okán a rendelet 2. mellékletéből törölni szükséges a laktóz- és gluténmentes, cukros és egyéb diétás étrend plusz díjait.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bocsátja az előterjesztést.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(minősített többséggel) az alábbi rendeletet alkotta: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0C78F1" w:rsidRDefault="004C6830">
      <w:pPr>
        <w:jc w:val="both"/>
        <w:rPr>
          <w:b/>
          <w:sz w:val="24"/>
          <w:szCs w:val="24"/>
        </w:rPr>
      </w:pPr>
      <w:bookmarkStart w:id="3" w:name="_3znysh7" w:colFirst="0" w:colLast="0"/>
      <w:bookmarkEnd w:id="3"/>
      <w:r>
        <w:rPr>
          <w:b/>
          <w:sz w:val="24"/>
          <w:szCs w:val="24"/>
        </w:rPr>
        <w:t>22/2023. (VIII.21.) önkormányzati rendelet</w:t>
      </w:r>
    </w:p>
    <w:p w:rsidR="000C78F1" w:rsidRDefault="000C78F1">
      <w:pPr>
        <w:jc w:val="both"/>
        <w:rPr>
          <w:b/>
          <w:sz w:val="24"/>
          <w:szCs w:val="24"/>
        </w:rPr>
      </w:pPr>
    </w:p>
    <w:p w:rsidR="000C78F1" w:rsidRDefault="004C6830">
      <w:pPr>
        <w:keepNext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 Képviselő-testülete a szociális igazgatás és a szociális ellátások hel</w:t>
      </w:r>
      <w:r>
        <w:rPr>
          <w:color w:val="000000"/>
          <w:sz w:val="24"/>
          <w:szCs w:val="24"/>
        </w:rPr>
        <w:t xml:space="preserve">yi szabályairól szóló 4/2015. (II.27.) önkormányzati rendelet módosításáról szóló </w:t>
      </w:r>
      <w:r>
        <w:rPr>
          <w:sz w:val="24"/>
          <w:szCs w:val="24"/>
        </w:rPr>
        <w:t>rendeletét megalkotta.</w:t>
      </w:r>
    </w:p>
    <w:p w:rsidR="000C78F1" w:rsidRDefault="000C78F1">
      <w:pPr>
        <w:shd w:val="clear" w:color="auto" w:fill="FFFFFF"/>
        <w:jc w:val="both"/>
        <w:rPr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hulladékgazdálkodási közszolgáltatásról szóló önkormányzati rendelet hatályon kívül helyezése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4" w:name="_2et92p0" w:colFirst="0" w:colLast="0"/>
      <w:bookmarkEnd w:id="4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Gazdasági és Városüzemeltetési Bizottság megtárgyalta az előterjesztést, és egyhangúlag támogatta azt. Július 1-jétől életbe léptek új szabályok, az Mötv.-ből kikerült az önkormányzatok hulladékgazdálkodással kapcsolatos al</w:t>
      </w:r>
      <w:r>
        <w:rPr>
          <w:color w:val="000000"/>
          <w:sz w:val="24"/>
          <w:szCs w:val="24"/>
        </w:rPr>
        <w:t>apfeladata, és ez arra kötelezi az önkormányzatokat, hogy a meglévő rendeleteiket hatályon kívül helyezzék.</w:t>
      </w:r>
      <w:r>
        <w:rPr>
          <w:sz w:val="24"/>
          <w:szCs w:val="24"/>
        </w:rPr>
        <w:t xml:space="preserve"> Két ponton találkoznak a rendszerrel. A közterületekről el kell szállítani a hulladékot, erre megkötötték a szerződést, a </w:t>
      </w:r>
      <w:r>
        <w:rPr>
          <w:color w:val="000000"/>
          <w:sz w:val="24"/>
          <w:szCs w:val="24"/>
        </w:rPr>
        <w:t>Kisalföldi Kommunális Hull</w:t>
      </w:r>
      <w:r>
        <w:rPr>
          <w:color w:val="000000"/>
          <w:sz w:val="24"/>
          <w:szCs w:val="24"/>
        </w:rPr>
        <w:t>adékgazdálkodási Közszolgáltató Nonprofit Kft. látja el a feladatot. Ezek a költségek eddig a Városüzemeltető és Fenntartó Kft.-hez voltak beépítve. A MOHU MOL Hulladékgazdálkodási Zrt. önállóan szerződik a Kisalföldi Kft.-vel, és az önkormányzati költségv</w:t>
      </w:r>
      <w:r>
        <w:rPr>
          <w:color w:val="000000"/>
          <w:sz w:val="24"/>
          <w:szCs w:val="24"/>
        </w:rPr>
        <w:t xml:space="preserve">etésbe kerül át ennek a terhe. A jánossomorjai lerakó végpontként nincs kijelölve, ideiglenesen átrakóállomásként működik a telephely, a MOHU Zrt. nem kötött szerződést a Rekultív Magyarország Kft.-vel. Mosonmagyaróvárról Győrbe, Csorna környékéről Csérre </w:t>
      </w:r>
      <w:r>
        <w:rPr>
          <w:color w:val="000000"/>
          <w:sz w:val="24"/>
          <w:szCs w:val="24"/>
        </w:rPr>
        <w:t xml:space="preserve">szállítják a hulladékot. Csak ezzel a két lerakóval kötöttek szerződést. A Rekultív Kft.-nek viszont még 10 éve hátra lenne a hosszú távú lerakóüzemeltetési szerződéséből, lerakható hulladék nélkül, ami </w:t>
      </w:r>
      <w:r>
        <w:rPr>
          <w:sz w:val="24"/>
          <w:szCs w:val="24"/>
        </w:rPr>
        <w:t>több</w:t>
      </w:r>
      <w:r>
        <w:rPr>
          <w:color w:val="000000"/>
          <w:sz w:val="24"/>
          <w:szCs w:val="24"/>
        </w:rPr>
        <w:t xml:space="preserve"> jogi kérdést is fel fog vetni. A korábban megköt</w:t>
      </w:r>
      <w:r>
        <w:rPr>
          <w:color w:val="000000"/>
          <w:sz w:val="24"/>
          <w:szCs w:val="24"/>
        </w:rPr>
        <w:t>ött szerződésekben benne van, hogy az önkormányzatoknak kötbért kell fizetni, ha nem a jánossomorjai depóba szállítják a hulladékot. A depó rekultivációja is lényeges kérdés lesz. A városi rendeletet most hatályon kívül kell helyezni, azon elemei, amik még</w:t>
      </w:r>
      <w:r>
        <w:rPr>
          <w:color w:val="000000"/>
          <w:sz w:val="24"/>
          <w:szCs w:val="24"/>
        </w:rPr>
        <w:t xml:space="preserve"> szükségesek</w:t>
      </w:r>
      <w:r>
        <w:rPr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így a közterületi hulladék </w:t>
      </w:r>
      <w:r>
        <w:rPr>
          <w:sz w:val="24"/>
          <w:szCs w:val="24"/>
        </w:rPr>
        <w:t>felderítése</w:t>
      </w:r>
      <w:r>
        <w:rPr>
          <w:color w:val="000000"/>
          <w:sz w:val="24"/>
          <w:szCs w:val="24"/>
        </w:rPr>
        <w:t>, dokumentálása</w:t>
      </w:r>
      <w:r>
        <w:rPr>
          <w:sz w:val="24"/>
          <w:szCs w:val="24"/>
        </w:rPr>
        <w:t xml:space="preserve"> -,</w:t>
      </w:r>
      <w:r>
        <w:rPr>
          <w:color w:val="000000"/>
          <w:sz w:val="24"/>
          <w:szCs w:val="24"/>
        </w:rPr>
        <w:t xml:space="preserve"> másik rendeletbe kerülnek átemelésre.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Szabó Miklós</w:t>
      </w:r>
      <w:r>
        <w:rPr>
          <w:color w:val="000000"/>
          <w:sz w:val="24"/>
          <w:szCs w:val="24"/>
        </w:rPr>
        <w:t xml:space="preserve"> képviselő: Kérdezi, hogy változik-e a szemétszállítási díj fizetési rendje.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>
        <w:rPr>
          <w:sz w:val="24"/>
          <w:szCs w:val="24"/>
        </w:rPr>
        <w:t>Tudomása s</w:t>
      </w:r>
      <w:r>
        <w:rPr>
          <w:color w:val="000000"/>
          <w:sz w:val="24"/>
          <w:szCs w:val="24"/>
        </w:rPr>
        <w:t xml:space="preserve">zerint a lakosság felé marad ebben a formában, </w:t>
      </w:r>
      <w:r>
        <w:rPr>
          <w:sz w:val="24"/>
          <w:szCs w:val="24"/>
        </w:rPr>
        <w:t>két</w:t>
      </w:r>
      <w:r>
        <w:rPr>
          <w:color w:val="000000"/>
          <w:sz w:val="24"/>
          <w:szCs w:val="24"/>
        </w:rPr>
        <w:t>havonta kapnak számlát, az első már meg is jött, az NHKV Zrt. küldte ki, de a MOHU Zrt.-nek kell fizetni. Díjemelés nem várható. Minden cégnek önállóan kell szerződnie, akinek kommunális hulladéka képződik.</w:t>
      </w:r>
      <w:r>
        <w:rPr>
          <w:color w:val="000000"/>
          <w:sz w:val="24"/>
          <w:szCs w:val="24"/>
        </w:rPr>
        <w:t xml:space="preserve">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Vida István</w:t>
      </w:r>
      <w:r>
        <w:rPr>
          <w:color w:val="000000"/>
          <w:sz w:val="24"/>
          <w:szCs w:val="24"/>
        </w:rPr>
        <w:t xml:space="preserve"> képviselő: Kérdezi, hogy a Rekultív Kft.-vel miért nem kötöttek szerződést?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az országos trend, hogy minél kevesebb hulladékot kell a lerakóba szállítani</w:t>
      </w:r>
      <w:r>
        <w:rPr>
          <w:sz w:val="24"/>
          <w:szCs w:val="24"/>
        </w:rPr>
        <w:t>. M</w:t>
      </w:r>
      <w:r>
        <w:rPr>
          <w:color w:val="000000"/>
          <w:sz w:val="24"/>
          <w:szCs w:val="24"/>
        </w:rPr>
        <w:t xml:space="preserve">egnézték, hogy országosan hogyan helyezkednek el a </w:t>
      </w:r>
      <w:r>
        <w:rPr>
          <w:color w:val="000000"/>
          <w:sz w:val="24"/>
          <w:szCs w:val="24"/>
        </w:rPr>
        <w:t xml:space="preserve">lerakók, és úgy döntöttek, hogy Győr-Moson-Sopron </w:t>
      </w:r>
      <w:r>
        <w:rPr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ármegyében nem fognak </w:t>
      </w:r>
      <w:r>
        <w:rPr>
          <w:sz w:val="24"/>
          <w:szCs w:val="24"/>
        </w:rPr>
        <w:t>három</w:t>
      </w:r>
      <w:r>
        <w:rPr>
          <w:color w:val="000000"/>
          <w:sz w:val="24"/>
          <w:szCs w:val="24"/>
        </w:rPr>
        <w:t xml:space="preserve"> lerakóval szerződni, csak kettővel</w:t>
      </w:r>
      <w:r>
        <w:rPr>
          <w:sz w:val="24"/>
          <w:szCs w:val="24"/>
        </w:rPr>
        <w:t>. M</w:t>
      </w:r>
      <w:r>
        <w:rPr>
          <w:color w:val="000000"/>
          <w:sz w:val="24"/>
          <w:szCs w:val="24"/>
        </w:rPr>
        <w:t>agyarázatot nem küldtek hozzá. Jó lett volna, ha a Rekultív Kft.-vel is szerződnek. Szavazásra bocsátja az előterjesztést.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(minősített többséggel) az alábbi rendeletet alkotta: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23/2023. (VIII.21.) önkormányzati rendelet</w:t>
      </w:r>
    </w:p>
    <w:p w:rsidR="000C78F1" w:rsidRDefault="000C78F1">
      <w:pPr>
        <w:jc w:val="both"/>
        <w:rPr>
          <w:b/>
          <w:sz w:val="24"/>
          <w:szCs w:val="24"/>
        </w:rPr>
      </w:pPr>
    </w:p>
    <w:p w:rsidR="000C78F1" w:rsidRDefault="004C6830">
      <w:pPr>
        <w:keepNext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Mosonmagyaróvár Város Önkormányzat Képviselő-testülete a hulladékgazdálkodási közszolgáltatásról szóló 56/2013. (XII. 18.) önkormányzati rendelet hatályon kívül helyezéséről szóló </w:t>
      </w:r>
      <w:r>
        <w:rPr>
          <w:sz w:val="24"/>
          <w:szCs w:val="24"/>
        </w:rPr>
        <w:t>rendeletét megalkotta.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color w:val="000000"/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Településrendezés: Mosonmagyaróvá</w:t>
      </w:r>
      <w:r>
        <w:rPr>
          <w:b/>
          <w:sz w:val="24"/>
          <w:szCs w:val="24"/>
        </w:rPr>
        <w:t xml:space="preserve">r településrendezési terveinek módosítása (2022/1) kapcsán az államigazgatási szervektől érkezett nyilatkozatok jóváhagyása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Gazdasági és Városüzemeltetési Bizottság és egyhangúlag támogatta azt.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Kitley Tibor</w:t>
      </w:r>
      <w:r>
        <w:rPr>
          <w:sz w:val="24"/>
          <w:szCs w:val="24"/>
        </w:rPr>
        <w:t xml:space="preserve"> városi főépítész: A településrendezési tervek módosításához az állami szervektől érkeznek vissza a nyilatkozatok. 11 szervtől </w:t>
      </w:r>
      <w:r>
        <w:rPr>
          <w:sz w:val="24"/>
          <w:szCs w:val="24"/>
        </w:rPr>
        <w:t xml:space="preserve">várják, 8 válaszolt. A Vas vármegyei erdészeti hatósággal volt egy hosszabb ügy, ők eredetileg nem járultak hozzá, hogy a Halászi út-Kálnoki úti belső tehermentesítő utat egy önkormányzati tulajdonú erdőterületen vigyék keresztül. Küldtek egy igazolást és </w:t>
      </w:r>
      <w:r>
        <w:rPr>
          <w:sz w:val="24"/>
          <w:szCs w:val="24"/>
        </w:rPr>
        <w:t>egy tanulmányt arról, hogy ez egy közcélú fejlesztés, így a tanulmányhoz már hozzájárultak. Alapvetően mind a 8 nyilatkozatban jóváhagyták a módosítást, és javaslatok is érkeztek. Volt, amit figyelembe is vettek, nem tudják figyelembe venni viszont, hogy a</w:t>
      </w:r>
      <w:r>
        <w:rPr>
          <w:sz w:val="24"/>
          <w:szCs w:val="24"/>
        </w:rPr>
        <w:t xml:space="preserve"> nagysebességű vasútvonal nyomvonalát nagymértékben eltolták. Ezt nem tudják átvezetni jelenleg a településrendezési terven.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Vida István</w:t>
      </w:r>
      <w:r>
        <w:rPr>
          <w:sz w:val="24"/>
          <w:szCs w:val="24"/>
        </w:rPr>
        <w:t xml:space="preserve"> képviselő: Ez azt jelenti, hogy az eredeti nyomvonalhoz ragaszkodik a város?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Kitley Tibor</w:t>
      </w:r>
      <w:r>
        <w:rPr>
          <w:sz w:val="24"/>
          <w:szCs w:val="24"/>
        </w:rPr>
        <w:t xml:space="preserve"> városi főépítész: Azt veszi</w:t>
      </w:r>
      <w:r>
        <w:rPr>
          <w:sz w:val="24"/>
          <w:szCs w:val="24"/>
        </w:rPr>
        <w:t xml:space="preserve">k figyelembe, ami hivatalos és a vármegyei tervben van, nem pedig azt, amit javasoltak és egy hatástanulmány tartalmazza.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bocsátja az előterjesztést.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az alább</w:t>
      </w:r>
      <w:r>
        <w:rPr>
          <w:i/>
          <w:color w:val="000000"/>
          <w:sz w:val="24"/>
          <w:szCs w:val="24"/>
        </w:rPr>
        <w:t>i határozatot hozta: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rPr>
          <w:b/>
          <w:sz w:val="24"/>
          <w:szCs w:val="24"/>
        </w:rPr>
      </w:pPr>
      <w:r>
        <w:rPr>
          <w:b/>
          <w:sz w:val="24"/>
          <w:szCs w:val="24"/>
        </w:rPr>
        <w:t>145/2023. (VIII.20.) Kt. határozat</w:t>
      </w:r>
    </w:p>
    <w:p w:rsidR="000C78F1" w:rsidRDefault="000C78F1">
      <w:pPr>
        <w:rPr>
          <w:sz w:val="24"/>
          <w:szCs w:val="24"/>
        </w:rPr>
      </w:pPr>
    </w:p>
    <w:p w:rsidR="000C78F1" w:rsidRDefault="004C683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Mosonmagyaróvár Város Önkormányzat Képviselő-testülete a város településrendezési eszközeinek 2022/1. számú módosítása során az államigazgatási szervektől érkezett nyilatkozatokkal kapcsolatban az alábbi döntést hozza:</w:t>
      </w:r>
    </w:p>
    <w:p w:rsidR="000C78F1" w:rsidRDefault="000C78F1">
      <w:pPr>
        <w:ind w:left="567"/>
        <w:jc w:val="both"/>
        <w:rPr>
          <w:sz w:val="24"/>
          <w:szCs w:val="24"/>
        </w:rPr>
      </w:pPr>
    </w:p>
    <w:p w:rsidR="000C78F1" w:rsidRDefault="004C6830">
      <w:pPr>
        <w:numPr>
          <w:ilvl w:val="0"/>
          <w:numId w:val="1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Győr-Moson-Sopron Vármegyei Kormán</w:t>
      </w:r>
      <w:r>
        <w:rPr>
          <w:sz w:val="24"/>
          <w:szCs w:val="24"/>
        </w:rPr>
        <w:t>yhivatal Állami Főépítészi Irodának a tervdokumentáció 8. pontjában szereplő, Móricz Zsigmond utcai módosítással kapcsolatos javaslatát – szükség esetén két önálló építési hely jelölését – nem támogatja. Az építési hely jelölése felesleges, az összevonni t</w:t>
      </w:r>
      <w:r>
        <w:rPr>
          <w:sz w:val="24"/>
          <w:szCs w:val="24"/>
        </w:rPr>
        <w:t xml:space="preserve">ervezett 336 és 340 helyrajzi számú ingatlan csak egy nyaktaggal csatlakozik, ami az átközlekedést biztosítja, így ez eleve két építési helyet eredményez az elő- és hátsókert betartásával. Az ingatlanok műemléki környezetben fekszenek, így beépítés esetén </w:t>
      </w:r>
      <w:r>
        <w:rPr>
          <w:sz w:val="24"/>
          <w:szCs w:val="24"/>
        </w:rPr>
        <w:t>a területi tervtanács bírálja el a terveket.</w:t>
      </w:r>
    </w:p>
    <w:p w:rsidR="000C78F1" w:rsidRDefault="000C78F1">
      <w:pPr>
        <w:ind w:left="567"/>
        <w:jc w:val="both"/>
        <w:rPr>
          <w:sz w:val="24"/>
          <w:szCs w:val="24"/>
        </w:rPr>
      </w:pPr>
    </w:p>
    <w:p w:rsidR="000C78F1" w:rsidRDefault="004C6830">
      <w:pPr>
        <w:numPr>
          <w:ilvl w:val="0"/>
          <w:numId w:val="1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Győr-Moson-Sopron Vármegyei Kormányhivatal Állami Főépítészi Irodának a tervdokumentáció 10. pontjában szereplő, Aranyossziget utcai módosításnál külön építési övezet jelölésére vonatkozó javaslatát nem támog</w:t>
      </w:r>
      <w:r>
        <w:rPr>
          <w:sz w:val="24"/>
          <w:szCs w:val="24"/>
        </w:rPr>
        <w:t>atja. Az érintett - LKE kertvárosi lakó építési övezetbe sorolt - telkeken a szomszédos telkeken már megkezdett beruházás folytatódna, telkenként két lakás építésével. A szabályozási előírások egységesek. A tervezett felmentés arra vonatkozik, hogy a 700 m</w:t>
      </w:r>
      <w:r>
        <w:rPr>
          <w:sz w:val="24"/>
          <w:szCs w:val="24"/>
        </w:rPr>
        <w:t>2 alatti telkeken is lehessen két lakást építeni. Amennyiben új, LK kisvárosi lakó építési övezet kerülne kijelölésre, akkor korlátozni kellene a lakásszámot kettőben. A módosítás így egyszerűbb, a beépítési paraméterek és a lakásszám egyértelműen meghatár</w:t>
      </w:r>
      <w:r>
        <w:rPr>
          <w:sz w:val="24"/>
          <w:szCs w:val="24"/>
        </w:rPr>
        <w:t>ozottak.</w:t>
      </w:r>
    </w:p>
    <w:p w:rsidR="000C78F1" w:rsidRDefault="000C78F1">
      <w:pPr>
        <w:ind w:left="567"/>
        <w:jc w:val="both"/>
        <w:rPr>
          <w:sz w:val="24"/>
          <w:szCs w:val="24"/>
        </w:rPr>
      </w:pPr>
    </w:p>
    <w:p w:rsidR="000C78F1" w:rsidRDefault="004C6830">
      <w:pPr>
        <w:numPr>
          <w:ilvl w:val="0"/>
          <w:numId w:val="1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Győr-Moson-Sopron Vármegyei Kormányhivatal Állami Főépítészi Irodának a tervdokumentáció 11. pontjában szereplő, a Gazdász utcai tömb feltárását biztosító új út kialakítására vonatkozó javaslatával - közforgalom számára megnyitott magánút helye</w:t>
      </w:r>
      <w:r>
        <w:rPr>
          <w:sz w:val="24"/>
          <w:szCs w:val="24"/>
        </w:rPr>
        <w:t>tt önkormányzati közút legyen jelölve - egyetért. Az egykori lakóingatlan telke jelenleg magánútként funkcionál, a módosítás tárgya, hogy ez közlekedési terület legyen. A szabályozási tervben az út II. rendű közterületként jelölendő, a magánút feliratot tö</w:t>
      </w:r>
      <w:r>
        <w:rPr>
          <w:sz w:val="24"/>
          <w:szCs w:val="24"/>
        </w:rPr>
        <w:t>rölni kell.</w:t>
      </w:r>
    </w:p>
    <w:p w:rsidR="000C78F1" w:rsidRDefault="000C78F1">
      <w:pPr>
        <w:ind w:left="567"/>
      </w:pPr>
    </w:p>
    <w:p w:rsidR="000C78F1" w:rsidRDefault="004C6830">
      <w:pPr>
        <w:numPr>
          <w:ilvl w:val="0"/>
          <w:numId w:val="1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Győr-Moson-Sopron Vármegyei Kormányhivatal Állami Főépítészi Iroda nyilatkozatának II. pontjában felsorolt szöveges javításokat el kell végezni, a hiányokat pótolni kell a záró véleményezési dokumentáció összeállításánál. A nagysebességű vas</w:t>
      </w:r>
      <w:r>
        <w:rPr>
          <w:sz w:val="24"/>
          <w:szCs w:val="24"/>
        </w:rPr>
        <w:t>útvonal tervezett új nyomvonalának átvezetését a településtervek következő módosításában kell szerepeltetni, mivel az alapvetően eltér a jelenlegitől.</w:t>
      </w:r>
    </w:p>
    <w:p w:rsidR="000C78F1" w:rsidRDefault="000C78F1">
      <w:pPr>
        <w:ind w:left="567"/>
        <w:jc w:val="both"/>
        <w:rPr>
          <w:sz w:val="24"/>
          <w:szCs w:val="24"/>
        </w:rPr>
      </w:pPr>
    </w:p>
    <w:p w:rsidR="000C78F1" w:rsidRDefault="004C6830">
      <w:pPr>
        <w:numPr>
          <w:ilvl w:val="0"/>
          <w:numId w:val="10"/>
        </w:numPr>
        <w:ind w:left="567"/>
        <w:jc w:val="both"/>
        <w:rPr>
          <w:sz w:val="24"/>
          <w:szCs w:val="24"/>
        </w:rPr>
      </w:pPr>
      <w:bookmarkStart w:id="5" w:name="_tyjcwt" w:colFirst="0" w:colLast="0"/>
      <w:bookmarkEnd w:id="5"/>
      <w:r>
        <w:rPr>
          <w:sz w:val="24"/>
          <w:szCs w:val="24"/>
        </w:rPr>
        <w:t>A Fertő-Hanság Nemzeti Park Igazgatóságának a tervdokumentáció 6. pontjában szereplő, Mofém-telepi parko</w:t>
      </w:r>
      <w:r>
        <w:rPr>
          <w:sz w:val="24"/>
          <w:szCs w:val="24"/>
        </w:rPr>
        <w:t>lók és garázssor kialakítására tett javaslata összhangban van a tervezett beépítéssel, a javaslatot elfogadja.</w:t>
      </w:r>
    </w:p>
    <w:p w:rsidR="000C78F1" w:rsidRDefault="000C78F1">
      <w:pPr>
        <w:ind w:left="567"/>
        <w:jc w:val="both"/>
        <w:rPr>
          <w:sz w:val="24"/>
          <w:szCs w:val="24"/>
        </w:rPr>
      </w:pPr>
    </w:p>
    <w:p w:rsidR="000C78F1" w:rsidRDefault="004C6830">
      <w:pPr>
        <w:numPr>
          <w:ilvl w:val="0"/>
          <w:numId w:val="1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további államigazgatási szervektől érkezett nyilatkozatok észrevételt, javaslatot nem tartalmaztak, így azokat elfogadja.</w:t>
      </w:r>
    </w:p>
    <w:p w:rsidR="000C78F1" w:rsidRDefault="000C78F1">
      <w:pPr>
        <w:ind w:left="567"/>
        <w:jc w:val="both"/>
        <w:rPr>
          <w:sz w:val="24"/>
          <w:szCs w:val="24"/>
        </w:rPr>
      </w:pPr>
    </w:p>
    <w:p w:rsidR="000C78F1" w:rsidRDefault="004C6830">
      <w:pPr>
        <w:numPr>
          <w:ilvl w:val="0"/>
          <w:numId w:val="10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</w:t>
      </w:r>
      <w:r>
        <w:rPr>
          <w:sz w:val="24"/>
          <w:szCs w:val="24"/>
        </w:rPr>
        <w:t>t felkéri a Polgármestert, hogy gondoskodjon a záró véleményezési tervdokumentáció összeállításáról, figyelemmel az elfogadott javaslatokra.</w:t>
      </w:r>
    </w:p>
    <w:p w:rsidR="000C78F1" w:rsidRDefault="000C78F1">
      <w:pPr>
        <w:ind w:left="567"/>
        <w:jc w:val="both"/>
        <w:rPr>
          <w:sz w:val="24"/>
          <w:szCs w:val="24"/>
        </w:rPr>
      </w:pPr>
    </w:p>
    <w:p w:rsidR="000C78F1" w:rsidRDefault="004C683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Felelős:    Dr. Árvay István polgármester</w:t>
      </w:r>
    </w:p>
    <w:p w:rsidR="000C78F1" w:rsidRDefault="004C683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Határidő:  2023. augusztus 31.</w:t>
      </w:r>
    </w:p>
    <w:p w:rsidR="000C78F1" w:rsidRDefault="000C78F1">
      <w:pPr>
        <w:jc w:val="both"/>
        <w:rPr>
          <w:sz w:val="24"/>
          <w:szCs w:val="24"/>
        </w:rPr>
      </w:pP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Hozzájárulás a Mosonmagyaróvár Duna – Liget lakópark és az 1401. sz. út közötti új út építéséhez kapcsolódó területszerzések lebonyolításához 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Gazdasági és Városüzemeltetési Bizottság, 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egyhangúlag támogatt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. A következő évek nagy építés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beruházása a Kiserdő hídtól a Feketeerdei útig, Rajkai útig, Levéli útig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az északi tehermentesítő út vonalán tehe</w:t>
      </w:r>
      <w:r>
        <w:rPr>
          <w:color w:val="000000"/>
          <w:sz w:val="24"/>
          <w:szCs w:val="24"/>
        </w:rPr>
        <w:t>rmentesítés kiépítése. Ehhez kisajátításokat kell végrehajtani a Liget lakópark környékén. Volt, aki átadta, de sokan nem. Ez nem beépítésre szánt terület, hanem külterületi szántó. Vélhetően közigazgatási eljárás keretében fog az ügy tovább zajlani. Ez eg</w:t>
      </w:r>
      <w:r>
        <w:rPr>
          <w:color w:val="000000"/>
          <w:sz w:val="24"/>
          <w:szCs w:val="24"/>
        </w:rPr>
        <w:t>y nagyon komoly beruházás, de ez az egyetlen módja, hogy az északról jövő hatalmas forgalmat valahogy a városi utakon kívülre tereljék. Ezt előbb</w:t>
      </w: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utóbb mindenképp meg kell építeni.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bookmarkStart w:id="6" w:name="_3dy6vkm" w:colFirst="0" w:colLast="0"/>
      <w:bookmarkEnd w:id="6"/>
      <w:r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Kérdezi, hogy a népszámlálással kapcsolatban vann</w:t>
      </w:r>
      <w:r>
        <w:rPr>
          <w:color w:val="000000"/>
          <w:sz w:val="24"/>
          <w:szCs w:val="24"/>
        </w:rPr>
        <w:t xml:space="preserve">ak-e adatok.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>
        <w:rPr>
          <w:sz w:val="24"/>
          <w:szCs w:val="24"/>
        </w:rPr>
        <w:t>Igen, a l</w:t>
      </w:r>
      <w:r>
        <w:rPr>
          <w:color w:val="000000"/>
          <w:sz w:val="24"/>
          <w:szCs w:val="24"/>
        </w:rPr>
        <w:t xml:space="preserve">akásszám jelentősen növekedett, lakosságszám szinte semmit.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Több város is ugyan</w:t>
      </w:r>
      <w:r>
        <w:rPr>
          <w:sz w:val="24"/>
          <w:szCs w:val="24"/>
        </w:rPr>
        <w:t>ebben</w:t>
      </w:r>
      <w:r>
        <w:rPr>
          <w:color w:val="000000"/>
          <w:sz w:val="24"/>
          <w:szCs w:val="24"/>
        </w:rPr>
        <w:t xml:space="preserve"> a cipőben jár</w:t>
      </w:r>
      <w:r>
        <w:rPr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Sopron, Kőszeg, Szombathely </w:t>
      </w: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>, hogy valójában jóval magasabb a lakosságszá</w:t>
      </w:r>
      <w:r>
        <w:rPr>
          <w:color w:val="000000"/>
          <w:sz w:val="24"/>
          <w:szCs w:val="24"/>
        </w:rPr>
        <w:t>m, mint amit a statisztikai adatok mutatnak, így a városokra nagyrészt a teher zúdul csak. Össze kellene fogni ezeknek a városoknak, és a Parlament fel</w:t>
      </w:r>
      <w:r>
        <w:rPr>
          <w:sz w:val="24"/>
          <w:szCs w:val="24"/>
        </w:rPr>
        <w:t xml:space="preserve">é </w:t>
      </w:r>
      <w:r>
        <w:rPr>
          <w:color w:val="000000"/>
          <w:sz w:val="24"/>
          <w:szCs w:val="24"/>
        </w:rPr>
        <w:t>fordulni, törvénymódosítással elérni, hogy a bejelentkezési kötelezettség</w:t>
      </w:r>
      <w:r>
        <w:rPr>
          <w:sz w:val="24"/>
          <w:szCs w:val="24"/>
        </w:rPr>
        <w:t>nek eleget tegyenek</w:t>
      </w:r>
      <w:r>
        <w:rPr>
          <w:color w:val="000000"/>
          <w:sz w:val="24"/>
          <w:szCs w:val="24"/>
        </w:rPr>
        <w:t>. Az előter</w:t>
      </w:r>
      <w:r>
        <w:rPr>
          <w:color w:val="000000"/>
          <w:sz w:val="24"/>
          <w:szCs w:val="24"/>
        </w:rPr>
        <w:t>jesztéssel kapcsolatban megjegyzi, hogy a beruházás nem kifejezetten a város, hanem elsősorban az ingatlanfejlesztő érdeke. Kérdezi, hogy ezeken a területeken van-e ingatlanfejlesztőknek területe, és hogy ezeknek az árát az ingatlanfejlesztőkkel kifizettet</w:t>
      </w:r>
      <w:r>
        <w:rPr>
          <w:color w:val="000000"/>
          <w:sz w:val="24"/>
          <w:szCs w:val="24"/>
        </w:rPr>
        <w:t xml:space="preserve">i-e a város.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Ez egyelőre külterületi szántó, itt ingatlanfejlesztő nincs.  Az ingatlanfejlesztők a Liget lakópark fejlesztésekor a rájuk eső részt leadták.  Amit most ki akarnak sajátítani, az teljes egészében magánszemélye</w:t>
      </w:r>
      <w:r>
        <w:rPr>
          <w:color w:val="000000"/>
          <w:sz w:val="24"/>
          <w:szCs w:val="24"/>
        </w:rPr>
        <w:t>knél van. Ha ott ingatlanfejlesztésre kerül sor, akkor a kivitelezés költségei</w:t>
      </w:r>
      <w:r>
        <w:rPr>
          <w:sz w:val="24"/>
          <w:szCs w:val="24"/>
        </w:rPr>
        <w:t xml:space="preserve"> kerülnek átterhelésre</w:t>
      </w:r>
      <w:r>
        <w:rPr>
          <w:color w:val="000000"/>
          <w:sz w:val="24"/>
          <w:szCs w:val="24"/>
        </w:rPr>
        <w:t xml:space="preserve">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 Kérdezi, hogy a Halászi út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Duna lakóparkos körforgalom mikorra várható.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Várhatóan jövő évben elkezdődik.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Vida István </w:t>
      </w:r>
      <w:r>
        <w:rPr>
          <w:color w:val="000000"/>
          <w:sz w:val="24"/>
          <w:szCs w:val="24"/>
        </w:rPr>
        <w:t xml:space="preserve">képviselő: A bevezető úton a fásítás nagyon szép, de </w:t>
      </w:r>
      <w:r>
        <w:rPr>
          <w:sz w:val="24"/>
          <w:szCs w:val="24"/>
        </w:rPr>
        <w:t xml:space="preserve">van ott </w:t>
      </w:r>
      <w:r>
        <w:rPr>
          <w:color w:val="000000"/>
          <w:sz w:val="24"/>
          <w:szCs w:val="24"/>
        </w:rPr>
        <w:t>egy terület, ami nagyon elhanyagolt. Mikor fogják rendbe tenni?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Reméli, hogy a tulajdonos mihamarabb é</w:t>
      </w:r>
      <w:r>
        <w:rPr>
          <w:color w:val="000000"/>
          <w:sz w:val="24"/>
          <w:szCs w:val="24"/>
        </w:rPr>
        <w:t>szreveszi és gondoskodik a rendbetételről. Szavazásra bocsátja az előterjesztést.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A Képviselő-testület 14 igen(egyhangú) szavazattal az alábbi határozatot hozta: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146/2023. (VIII.20.) Kt. határozat</w:t>
      </w:r>
    </w:p>
    <w:p w:rsidR="000C78F1" w:rsidRDefault="000C78F1">
      <w:pPr>
        <w:jc w:val="both"/>
        <w:rPr>
          <w:b/>
          <w:sz w:val="24"/>
          <w:szCs w:val="24"/>
        </w:rPr>
      </w:pPr>
    </w:p>
    <w:p w:rsidR="000C78F1" w:rsidRDefault="004C6830" w:rsidP="001419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Mosonmagyaróvár Város Önkormányzat Képviselő-testülete hozzájárul ahhoz, hogy a Pro Pervium Mérnöki Iroda Kft. (székhelye: 9025 Győr, Bercsényi liget 26/A/6.) által készített </w:t>
      </w:r>
      <w:r>
        <w:rPr>
          <w:b/>
          <w:color w:val="000000"/>
          <w:sz w:val="24"/>
          <w:szCs w:val="24"/>
        </w:rPr>
        <w:t>Mosonmagyaróvár Duna - Liget lakópark és az 1401. számú út között új út és körfor</w:t>
      </w:r>
      <w:r>
        <w:rPr>
          <w:b/>
          <w:color w:val="000000"/>
          <w:sz w:val="24"/>
          <w:szCs w:val="24"/>
        </w:rPr>
        <w:t>galmi csomópont építése megnevezésű terv megvalósításához kapcsolódóan az Önkormányzat vételi ajánlatot tegyen az útépítéssel érintett ingatlanok tulajdonosai részére, továbbá az útépítéssel érintett ingatlanok / ingatlanrészek megszerzése érdekében a szük</w:t>
      </w:r>
      <w:r>
        <w:rPr>
          <w:b/>
          <w:color w:val="000000"/>
          <w:sz w:val="24"/>
          <w:szCs w:val="24"/>
        </w:rPr>
        <w:t>séges intézkedéseket megtegye.</w:t>
      </w:r>
    </w:p>
    <w:p w:rsidR="000C78F1" w:rsidRDefault="004C6830" w:rsidP="001419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Képviselő-testület felhatalmazza a Polgármestert, hogy az 1) pont szerinti ingatlanokra vonatkozóan a vételi ajánlat elfogadása esetén a kisajátítást helyettesítő adásvételi szerződéseket aláírja, az eljáráshoz kapcsolódó t</w:t>
      </w:r>
      <w:r>
        <w:rPr>
          <w:color w:val="000000"/>
          <w:sz w:val="24"/>
          <w:szCs w:val="24"/>
        </w:rPr>
        <w:t xml:space="preserve">ovábbi jognyilatkozatokat megtegye, valamint - szükség esetén - a kisajátítási eljárás megindítását kezdeményezze, a kisajátítási eljáráshoz kapcsolódó minden jognyilatkozatot megtegyen. </w:t>
      </w:r>
    </w:p>
    <w:p w:rsidR="000C78F1" w:rsidRDefault="004C6830" w:rsidP="001419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Képviselő-testület a tulajdonába kerülő ingatlanokat a forgalomkép</w:t>
      </w:r>
      <w:r>
        <w:rPr>
          <w:color w:val="000000"/>
          <w:sz w:val="24"/>
          <w:szCs w:val="24"/>
        </w:rPr>
        <w:t>telen törzsvagyon körébe sorolja.</w:t>
      </w:r>
    </w:p>
    <w:p w:rsidR="000C78F1" w:rsidRDefault="004C6830" w:rsidP="001419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megállapítja, hogy az 1. pont szerinti ingatlanok megszerzéséhez szükséges fedezet az Önkormányzat 2023. évi költségvetésében költségvetés módosítást követően rendelkezésre áll, mely módosítás a </w:t>
      </w:r>
      <w:r>
        <w:rPr>
          <w:b/>
          <w:i/>
          <w:color w:val="000000"/>
          <w:sz w:val="24"/>
          <w:szCs w:val="24"/>
        </w:rPr>
        <w:t>„Javaslat a 2023. évi költségvetés módosítására (augusztus)” előterjesztés részét képezi</w:t>
      </w:r>
      <w:r>
        <w:rPr>
          <w:color w:val="000000"/>
          <w:sz w:val="24"/>
          <w:szCs w:val="24"/>
        </w:rPr>
        <w:t xml:space="preserve">. </w:t>
      </w:r>
    </w:p>
    <w:p w:rsidR="000C78F1" w:rsidRDefault="000C78F1">
      <w:pPr>
        <w:ind w:left="360"/>
        <w:jc w:val="both"/>
        <w:rPr>
          <w:sz w:val="24"/>
          <w:szCs w:val="24"/>
        </w:rPr>
      </w:pPr>
    </w:p>
    <w:p w:rsidR="000C78F1" w:rsidRDefault="004C6830">
      <w:p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Felelős: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Dr. Árvay István polgármester</w:t>
      </w:r>
    </w:p>
    <w:p w:rsidR="000C78F1" w:rsidRDefault="004C6830">
      <w:p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2023. augusztus 31. az 1. és 4. pont vonatkozásában</w:t>
      </w:r>
    </w:p>
    <w:p w:rsidR="000C78F1" w:rsidRDefault="004C6830">
      <w:pPr>
        <w:ind w:left="992" w:firstLine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értelemszerűen a 2. és 3. pont vonatkozásában </w:t>
      </w:r>
    </w:p>
    <w:p w:rsidR="000C78F1" w:rsidRDefault="000C78F1">
      <w:pPr>
        <w:jc w:val="both"/>
        <w:rPr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Mosonmagyaróvár, Fő u. 13. szám alatti ingatlan értékesítésére érkezett vételi ajánlat </w:t>
      </w: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a Gazdasági és Városüzemeltetési Bizottság és egyhangúlag támogatt</w:t>
      </w:r>
      <w:r>
        <w:rPr>
          <w:color w:val="000000"/>
          <w:sz w:val="24"/>
          <w:szCs w:val="24"/>
        </w:rPr>
        <w:t xml:space="preserve">a azt. </w:t>
      </w:r>
      <w:r>
        <w:rPr>
          <w:sz w:val="24"/>
          <w:szCs w:val="24"/>
        </w:rPr>
        <w:t>Két</w:t>
      </w:r>
      <w:r>
        <w:rPr>
          <w:color w:val="000000"/>
          <w:sz w:val="24"/>
          <w:szCs w:val="24"/>
        </w:rPr>
        <w:t xml:space="preserve"> eredménytelen licit után a Movinnov Kft. lesz a vevő, ők ezt befejezik, használatbavételéről ők gondoskodnak. Szavazásra bocsátja a</w:t>
      </w:r>
      <w:r>
        <w:rPr>
          <w:sz w:val="24"/>
          <w:szCs w:val="24"/>
        </w:rPr>
        <w:t>z előterjesztést.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(minősített többséggel) az alábbi határozatot hozta:</w:t>
      </w:r>
    </w:p>
    <w:p w:rsidR="000C78F1" w:rsidRDefault="000C78F1">
      <w:pPr>
        <w:rPr>
          <w:b/>
          <w:sz w:val="24"/>
          <w:szCs w:val="24"/>
        </w:rPr>
      </w:pPr>
    </w:p>
    <w:p w:rsidR="000C78F1" w:rsidRDefault="004C683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147/2023. (VIII.20.) Kt. határozat</w:t>
      </w:r>
    </w:p>
    <w:p w:rsidR="000C78F1" w:rsidRDefault="000C78F1">
      <w:pPr>
        <w:jc w:val="both"/>
        <w:rPr>
          <w:b/>
          <w:color w:val="000000"/>
          <w:sz w:val="24"/>
          <w:szCs w:val="24"/>
        </w:rPr>
      </w:pPr>
    </w:p>
    <w:p w:rsidR="000C78F1" w:rsidRDefault="004C683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color w:val="000000"/>
          <w:sz w:val="24"/>
          <w:szCs w:val="24"/>
        </w:rPr>
      </w:pPr>
      <w:bookmarkStart w:id="7" w:name="_1t3h5sf" w:colFirst="0" w:colLast="0"/>
      <w:bookmarkEnd w:id="7"/>
      <w:r>
        <w:rPr>
          <w:color w:val="000000"/>
          <w:sz w:val="24"/>
          <w:szCs w:val="24"/>
        </w:rPr>
        <w:t xml:space="preserve">Mosonmagyaróvár Város Önkormányzat Képviselő-testülete elfogadja a </w:t>
      </w:r>
      <w:r>
        <w:rPr>
          <w:color w:val="000000"/>
          <w:sz w:val="24"/>
          <w:szCs w:val="24"/>
          <w:highlight w:val="white"/>
        </w:rPr>
        <w:t>MOVINNOV Befektetési Innovációs és Szolgáltató Korlátolt Felelősségű Társaság</w:t>
      </w:r>
      <w:r>
        <w:rPr>
          <w:color w:val="000000"/>
          <w:sz w:val="24"/>
          <w:szCs w:val="24"/>
        </w:rPr>
        <w:t xml:space="preserve"> (székhely: </w:t>
      </w:r>
      <w:r>
        <w:rPr>
          <w:color w:val="000000"/>
          <w:sz w:val="24"/>
          <w:szCs w:val="24"/>
          <w:highlight w:val="white"/>
        </w:rPr>
        <w:t>9200 Mosonmagyaróvár, Szent István király út 122.;</w:t>
      </w:r>
      <w: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c</w:t>
      </w:r>
      <w:r>
        <w:rPr>
          <w:color w:val="000000"/>
          <w:sz w:val="24"/>
          <w:szCs w:val="24"/>
          <w:highlight w:val="white"/>
        </w:rPr>
        <w:t>égjegyzékszám</w:t>
      </w:r>
      <w:r>
        <w:rPr>
          <w:color w:val="000000"/>
          <w:sz w:val="24"/>
          <w:szCs w:val="24"/>
          <w:highlight w:val="white"/>
        </w:rPr>
        <w:t>: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08-09-002816</w:t>
      </w:r>
      <w:r>
        <w:rPr>
          <w:color w:val="000000"/>
          <w:sz w:val="24"/>
          <w:szCs w:val="24"/>
        </w:rPr>
        <w:t xml:space="preserve">; a továbbiakban: </w:t>
      </w:r>
      <w:r>
        <w:rPr>
          <w:smallCaps/>
          <w:color w:val="000000"/>
          <w:sz w:val="24"/>
          <w:szCs w:val="24"/>
        </w:rPr>
        <w:t>MOVINNOV</w:t>
      </w:r>
      <w:r>
        <w:rPr>
          <w:color w:val="000000"/>
          <w:sz w:val="24"/>
          <w:szCs w:val="24"/>
        </w:rPr>
        <w:t xml:space="preserve"> Kft.) vételi ajánlatát a </w:t>
      </w:r>
      <w:r>
        <w:rPr>
          <w:b/>
          <w:color w:val="000000"/>
          <w:sz w:val="24"/>
          <w:szCs w:val="24"/>
        </w:rPr>
        <w:t>Mosonmagyaróvár belterület 272/1 hel</w:t>
      </w:r>
      <w:r>
        <w:rPr>
          <w:b/>
          <w:color w:val="000000"/>
          <w:sz w:val="24"/>
          <w:szCs w:val="24"/>
        </w:rPr>
        <w:t>yrajzi szám</w:t>
      </w:r>
      <w:r>
        <w:rPr>
          <w:color w:val="000000"/>
          <w:sz w:val="24"/>
          <w:szCs w:val="24"/>
        </w:rPr>
        <w:t xml:space="preserve"> alatti, kivett lakóház, udvar, gazdasági épület </w:t>
      </w:r>
      <w:r>
        <w:rPr>
          <w:color w:val="000000"/>
          <w:sz w:val="24"/>
          <w:szCs w:val="24"/>
        </w:rPr>
        <w:lastRenderedPageBreak/>
        <w:t>megnevezésű, 655 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térmértékű, nettó 206.500.000,- Ft forgalmi értékű ingatlanra vonatkozóan.</w:t>
      </w:r>
    </w:p>
    <w:p w:rsidR="000C78F1" w:rsidRDefault="004C6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felkéri a Polgármestert, hogy a testület döntéséről a </w:t>
      </w:r>
      <w:r>
        <w:rPr>
          <w:smallCaps/>
          <w:color w:val="000000"/>
          <w:sz w:val="24"/>
          <w:szCs w:val="24"/>
        </w:rPr>
        <w:t>MOVINNOV</w:t>
      </w:r>
      <w:r>
        <w:rPr>
          <w:color w:val="000000"/>
          <w:sz w:val="24"/>
          <w:szCs w:val="24"/>
        </w:rPr>
        <w:t xml:space="preserve"> Kft.-t értesítse.</w:t>
      </w:r>
    </w:p>
    <w:p w:rsidR="000C78F1" w:rsidRDefault="004C6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felkéri a Polgármestert, hogy az értékesítést megelőzően a rendeltetésmód változást a területileg illetékes földhivatalhoz benyújtsa.  </w:t>
      </w:r>
    </w:p>
    <w:p w:rsidR="000C78F1" w:rsidRDefault="004C6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Képviselő-testület felhatalmazza a Polgármestert, hogy a </w:t>
      </w:r>
      <w:r>
        <w:rPr>
          <w:smallCaps/>
          <w:color w:val="000000"/>
          <w:sz w:val="24"/>
          <w:szCs w:val="24"/>
        </w:rPr>
        <w:t>MOVINNOV</w:t>
      </w:r>
      <w:r>
        <w:rPr>
          <w:color w:val="000000"/>
          <w:sz w:val="24"/>
          <w:szCs w:val="24"/>
        </w:rPr>
        <w:t xml:space="preserve"> Kft. ajánlattevőjével az adásvételi szerződés megkötésre kerüljön, továbbá a jogügylet során teljes jogkörben eljárjon, illetőleg valamennyi jognyilatkozatot megtegyen. </w:t>
      </w:r>
    </w:p>
    <w:p w:rsidR="000C78F1" w:rsidRDefault="004C6830">
      <w:pPr>
        <w:ind w:left="851" w:hanging="42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Felelős:</w:t>
      </w:r>
      <w:r>
        <w:rPr>
          <w:color w:val="000000"/>
          <w:sz w:val="24"/>
          <w:szCs w:val="24"/>
        </w:rPr>
        <w:t xml:space="preserve"> Dr. Árvay István polgármester </w:t>
      </w:r>
    </w:p>
    <w:p w:rsidR="000C78F1" w:rsidRDefault="004C6830">
      <w:pPr>
        <w:spacing w:after="120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Pollhammer Jenő ügyvezető (MOVINNOV Kft.)</w:t>
      </w:r>
    </w:p>
    <w:p w:rsidR="000C78F1" w:rsidRDefault="004C6830">
      <w:pPr>
        <w:ind w:left="851" w:hanging="425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H</w:t>
      </w:r>
      <w:r>
        <w:rPr>
          <w:b/>
          <w:color w:val="000000"/>
          <w:sz w:val="24"/>
          <w:szCs w:val="24"/>
        </w:rPr>
        <w:t>atáridő: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2023. december 31. 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Utólagos tájékoztatás a 8. számú vegyes fogorvosi körzet bérleti szerződésének megkötéséről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Szociális és Esélyegyenlőségi Bizottság megtárgyalta az előterjesztést, és egyhangúlag támogatta azt. 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Pausits István</w:t>
      </w:r>
      <w:r>
        <w:rPr>
          <w:color w:val="000000"/>
          <w:sz w:val="24"/>
          <w:szCs w:val="24"/>
        </w:rPr>
        <w:t xml:space="preserve"> képviselő: Az EgoDental Kft.-vel, dr. Herczeg Csaba fogorvossal a szerződés lejárt.</w:t>
      </w:r>
      <w:r>
        <w:rPr>
          <w:sz w:val="24"/>
          <w:szCs w:val="24"/>
        </w:rPr>
        <w:t xml:space="preserve"> A megállapodás ú</w:t>
      </w:r>
      <w:bookmarkStart w:id="8" w:name="_GoBack"/>
      <w:bookmarkEnd w:id="8"/>
      <w:r>
        <w:rPr>
          <w:sz w:val="24"/>
          <w:szCs w:val="24"/>
        </w:rPr>
        <w:t>jra megkötésre került</w:t>
      </w:r>
      <w:r>
        <w:rPr>
          <w:color w:val="000000"/>
          <w:sz w:val="24"/>
          <w:szCs w:val="24"/>
        </w:rPr>
        <w:t xml:space="preserve"> a feladatellá</w:t>
      </w:r>
      <w:r>
        <w:rPr>
          <w:color w:val="000000"/>
          <w:sz w:val="24"/>
          <w:szCs w:val="24"/>
        </w:rPr>
        <w:t>tási szerződéses jogviszony fennállásáig, s rögzít</w:t>
      </w:r>
      <w:r>
        <w:rPr>
          <w:sz w:val="24"/>
          <w:szCs w:val="24"/>
        </w:rPr>
        <w:t>ették</w:t>
      </w:r>
      <w:r>
        <w:rPr>
          <w:color w:val="000000"/>
          <w:sz w:val="24"/>
          <w:szCs w:val="24"/>
        </w:rPr>
        <w:t>, hogy a röntgenberendezéssel együtt adják bérbe az ingatlant.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Szavazásra </w:t>
      </w:r>
      <w:r>
        <w:rPr>
          <w:sz w:val="24"/>
          <w:szCs w:val="24"/>
        </w:rPr>
        <w:t>bocsátja az előterjesztést.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az alábbi hat</w:t>
      </w:r>
      <w:r>
        <w:rPr>
          <w:i/>
          <w:color w:val="000000"/>
          <w:sz w:val="24"/>
          <w:szCs w:val="24"/>
        </w:rPr>
        <w:t>ározatot hozta: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78F1" w:rsidRDefault="004C68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148/2023. (VIII.20.) Kt. határozat</w:t>
      </w: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spacing w:after="120"/>
        <w:ind w:left="709"/>
        <w:jc w:val="both"/>
        <w:rPr>
          <w:sz w:val="24"/>
          <w:szCs w:val="24"/>
        </w:rPr>
      </w:pPr>
      <w:bookmarkStart w:id="9" w:name="_4d34og8" w:colFirst="0" w:colLast="0"/>
      <w:bookmarkEnd w:id="9"/>
      <w:r>
        <w:rPr>
          <w:sz w:val="24"/>
          <w:szCs w:val="24"/>
        </w:rPr>
        <w:t>Mosonmagyaróvár Város Önkormányzat Képviselő-testülete az Önkormányzat és az EgoDental Egészségügyi, Kereskedelmi és Szolgáltató Korlátolt Felelősségű Társaság között a 8. számú vegyes fogorvosi körzet bérleti szerződésének megkötésére vonatkozó – előterje</w:t>
      </w:r>
      <w:r>
        <w:rPr>
          <w:sz w:val="24"/>
          <w:szCs w:val="24"/>
        </w:rPr>
        <w:t>sztés szerinti – utólagos tájékoztatást tudomásul veszi.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NAPIRENDI PONT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Alapítványok támogatása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Pénzügyi és Ügyrendi Bizottság megtárgyalta az előterjesztést, és egyhangúlag támogatta azt. A </w:t>
      </w:r>
      <w:r>
        <w:rPr>
          <w:sz w:val="24"/>
          <w:szCs w:val="24"/>
          <w:highlight w:val="white"/>
        </w:rPr>
        <w:t xml:space="preserve">"Gondoskodás" Alapítványt és </w:t>
      </w:r>
      <w:r>
        <w:rPr>
          <w:color w:val="000000"/>
          <w:sz w:val="24"/>
          <w:szCs w:val="24"/>
        </w:rPr>
        <w:t xml:space="preserve">a </w:t>
      </w:r>
      <w:r>
        <w:rPr>
          <w:sz w:val="24"/>
          <w:szCs w:val="24"/>
          <w:highlight w:val="white"/>
        </w:rPr>
        <w:t xml:space="preserve">"KÜHNE FÚVÓSZENEKARÉRT" Alapítványt érinti a támogatás. </w:t>
      </w:r>
      <w:r>
        <w:rPr>
          <w:color w:val="000000"/>
          <w:sz w:val="24"/>
          <w:szCs w:val="24"/>
        </w:rPr>
        <w:t>Szavazásra bocsátja az előterjesztést.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14 igen (egyhangú) szavazattal az alábbi határozatot hozta: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4C6830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149/2023. (VIII.20.) Kt. határozat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0C78F1" w:rsidRDefault="004C68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 Képviselő-testülete hozzájárul, hogy az Önkormányzat 202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évi költségvetésében megnevezett választókerületi keret-támogatás terhére kerüljön kifizetésre </w:t>
      </w:r>
    </w:p>
    <w:p w:rsidR="000C78F1" w:rsidRDefault="004C68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66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sz w:val="24"/>
          <w:szCs w:val="24"/>
          <w:highlight w:val="white"/>
        </w:rPr>
        <w:t xml:space="preserve">"Gondoskodás" Alapítvány részére </w:t>
      </w:r>
      <w:r>
        <w:rPr>
          <w:sz w:val="24"/>
          <w:szCs w:val="24"/>
        </w:rPr>
        <w:t>a fogyatékossággal élő fiatalok és támogatóik számára szervezett ünnepség költségeihez való hozzájárulás</w:t>
      </w:r>
      <w:r>
        <w:rPr>
          <w:color w:val="000000"/>
          <w:sz w:val="24"/>
          <w:szCs w:val="24"/>
        </w:rPr>
        <w:t xml:space="preserve">ra </w:t>
      </w:r>
      <w:r>
        <w:rPr>
          <w:sz w:val="24"/>
          <w:szCs w:val="24"/>
        </w:rPr>
        <w:t>100.000 Ft</w:t>
      </w:r>
      <w:r>
        <w:rPr>
          <w:color w:val="000000"/>
          <w:sz w:val="24"/>
          <w:szCs w:val="24"/>
        </w:rPr>
        <w:t>;</w:t>
      </w:r>
    </w:p>
    <w:p w:rsidR="000C78F1" w:rsidRDefault="004C68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66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>
        <w:rPr>
          <w:sz w:val="24"/>
          <w:szCs w:val="24"/>
          <w:highlight w:val="white"/>
        </w:rPr>
        <w:t xml:space="preserve">"KÜHNE FÚVÓSZENEKARÉRT" Alapítvány részére </w:t>
      </w:r>
      <w:r>
        <w:rPr>
          <w:sz w:val="24"/>
          <w:szCs w:val="24"/>
        </w:rPr>
        <w:t>eszközbeszerzés (hangszer, egyenruha, egyéb felszerelés), hangszerjavítás, fellépésekre való elutazás finanszírozásához, kommunikációs költségekhez való hozzájárulásra 100.000 Ft.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0C78F1" w:rsidRDefault="004C68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Támogatási szerződés kizárólag azon alapítvánnyal kerül megkötésre, amely á</w:t>
      </w:r>
      <w:r>
        <w:rPr>
          <w:color w:val="000000"/>
          <w:sz w:val="24"/>
          <w:szCs w:val="24"/>
        </w:rPr>
        <w:t>tlátható szervezetnek minősül.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Felelős: Dr. Árvay István polgármester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Határidő: folyamatos 202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. december 31-ig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Megköszönte a részvételt, a Képviselő-testület rendkívüli, nyilvános ülését 14:40 órakor bezárta. </w:t>
      </w:r>
    </w:p>
    <w:p w:rsidR="000C78F1" w:rsidRDefault="000C78F1">
      <w:pPr>
        <w:jc w:val="both"/>
        <w:rPr>
          <w:sz w:val="24"/>
          <w:szCs w:val="24"/>
        </w:rPr>
      </w:pPr>
    </w:p>
    <w:p w:rsidR="000C78F1" w:rsidRDefault="004C6830">
      <w:p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zárt ülésen folytatta munkáját.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78F1" w:rsidRDefault="000C7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0C78F1" w:rsidRDefault="004C683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0C78F1">
      <w:headerReference w:type="even" r:id="rId7"/>
      <w:headerReference w:type="default" r:id="rId8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C6830">
      <w:r>
        <w:separator/>
      </w:r>
    </w:p>
  </w:endnote>
  <w:endnote w:type="continuationSeparator" w:id="0">
    <w:p w:rsidR="00000000" w:rsidRDefault="004C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C6830">
      <w:r>
        <w:separator/>
      </w:r>
    </w:p>
  </w:footnote>
  <w:footnote w:type="continuationSeparator" w:id="0">
    <w:p w:rsidR="00000000" w:rsidRDefault="004C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8F1" w:rsidRDefault="004C68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0C78F1" w:rsidRDefault="000C78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8F1" w:rsidRDefault="004C68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 w:rsidR="00141992"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141992"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0C78F1" w:rsidRDefault="000C78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F29"/>
    <w:multiLevelType w:val="multilevel"/>
    <w:tmpl w:val="73167B92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3E4"/>
    <w:multiLevelType w:val="multilevel"/>
    <w:tmpl w:val="71843F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804"/>
    <w:multiLevelType w:val="multilevel"/>
    <w:tmpl w:val="236403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3A0C83"/>
    <w:multiLevelType w:val="multilevel"/>
    <w:tmpl w:val="3B3CE9B6"/>
    <w:lvl w:ilvl="0">
      <w:start w:val="1"/>
      <w:numFmt w:val="decimal"/>
      <w:lvlText w:val="(%1)"/>
      <w:lvlJc w:val="left"/>
      <w:pPr>
        <w:ind w:left="384" w:hanging="360"/>
      </w:pPr>
    </w:lvl>
    <w:lvl w:ilvl="1">
      <w:start w:val="1"/>
      <w:numFmt w:val="lowerLetter"/>
      <w:lvlText w:val="%2."/>
      <w:lvlJc w:val="left"/>
      <w:pPr>
        <w:ind w:left="1104" w:hanging="360"/>
      </w:pPr>
    </w:lvl>
    <w:lvl w:ilvl="2">
      <w:start w:val="1"/>
      <w:numFmt w:val="lowerRoman"/>
      <w:lvlText w:val="%3."/>
      <w:lvlJc w:val="right"/>
      <w:pPr>
        <w:ind w:left="1824" w:hanging="180"/>
      </w:pPr>
    </w:lvl>
    <w:lvl w:ilvl="3">
      <w:start w:val="1"/>
      <w:numFmt w:val="decimal"/>
      <w:lvlText w:val="%4."/>
      <w:lvlJc w:val="left"/>
      <w:pPr>
        <w:ind w:left="2544" w:hanging="360"/>
      </w:pPr>
    </w:lvl>
    <w:lvl w:ilvl="4">
      <w:start w:val="1"/>
      <w:numFmt w:val="lowerLetter"/>
      <w:lvlText w:val="%5."/>
      <w:lvlJc w:val="left"/>
      <w:pPr>
        <w:ind w:left="3264" w:hanging="360"/>
      </w:pPr>
    </w:lvl>
    <w:lvl w:ilvl="5">
      <w:start w:val="1"/>
      <w:numFmt w:val="lowerRoman"/>
      <w:lvlText w:val="%6."/>
      <w:lvlJc w:val="right"/>
      <w:pPr>
        <w:ind w:left="3984" w:hanging="180"/>
      </w:pPr>
    </w:lvl>
    <w:lvl w:ilvl="6">
      <w:start w:val="1"/>
      <w:numFmt w:val="decimal"/>
      <w:lvlText w:val="%7."/>
      <w:lvlJc w:val="left"/>
      <w:pPr>
        <w:ind w:left="4704" w:hanging="360"/>
      </w:pPr>
    </w:lvl>
    <w:lvl w:ilvl="7">
      <w:start w:val="1"/>
      <w:numFmt w:val="lowerLetter"/>
      <w:lvlText w:val="%8."/>
      <w:lvlJc w:val="left"/>
      <w:pPr>
        <w:ind w:left="5424" w:hanging="360"/>
      </w:pPr>
    </w:lvl>
    <w:lvl w:ilvl="8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2BCA167F"/>
    <w:multiLevelType w:val="multilevel"/>
    <w:tmpl w:val="87122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01595"/>
    <w:multiLevelType w:val="multilevel"/>
    <w:tmpl w:val="55D89874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C4C37"/>
    <w:multiLevelType w:val="multilevel"/>
    <w:tmpl w:val="309AF74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BA128E"/>
    <w:multiLevelType w:val="multilevel"/>
    <w:tmpl w:val="EC7A9D1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31248A"/>
    <w:multiLevelType w:val="multilevel"/>
    <w:tmpl w:val="E326B44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A3CF0"/>
    <w:multiLevelType w:val="multilevel"/>
    <w:tmpl w:val="0038D5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F1"/>
    <w:rsid w:val="00005486"/>
    <w:rsid w:val="000C78F1"/>
    <w:rsid w:val="00141992"/>
    <w:rsid w:val="004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C58E"/>
  <w15:docId w15:val="{0B481047-18EB-49CC-9BF2-505A82D9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4545</Words>
  <Characters>31364</Characters>
  <Application>Microsoft Office Word</Application>
  <DocSecurity>0</DocSecurity>
  <Lines>261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4</cp:revision>
  <dcterms:created xsi:type="dcterms:W3CDTF">2023-08-25T05:47:00Z</dcterms:created>
  <dcterms:modified xsi:type="dcterms:W3CDTF">2023-08-25T05:50:00Z</dcterms:modified>
</cp:coreProperties>
</file>